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45937">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神池县</w:t>
      </w:r>
      <w:r>
        <w:rPr>
          <w:rFonts w:hint="eastAsia" w:ascii="宋体" w:hAnsi="宋体" w:eastAsia="宋体" w:cs="宋体"/>
          <w:b/>
          <w:bCs/>
          <w:sz w:val="44"/>
          <w:szCs w:val="44"/>
          <w:lang w:val="en-US" w:eastAsia="zh-CN"/>
        </w:rPr>
        <w:t>司法</w:t>
      </w:r>
      <w:r>
        <w:rPr>
          <w:rFonts w:hint="eastAsia" w:ascii="宋体" w:hAnsi="宋体" w:eastAsia="宋体" w:cs="宋体"/>
          <w:b/>
          <w:bCs/>
          <w:sz w:val="44"/>
          <w:szCs w:val="44"/>
          <w:lang w:eastAsia="zh-CN"/>
        </w:rPr>
        <w:t>局</w:t>
      </w:r>
    </w:p>
    <w:p w14:paraId="3F101BF0">
      <w:pPr>
        <w:spacing w:line="240" w:lineRule="auto"/>
        <w:jc w:val="center"/>
        <w:rPr>
          <w:rFonts w:hint="eastAsia" w:ascii="宋体" w:hAnsi="宋体" w:eastAsia="宋体" w:cs="宋体"/>
          <w:b/>
          <w:bCs/>
          <w:sz w:val="13"/>
          <w:szCs w:val="13"/>
          <w:lang w:eastAsia="zh-CN"/>
        </w:rPr>
      </w:pP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24</w:t>
      </w:r>
      <w:r>
        <w:rPr>
          <w:rFonts w:hint="eastAsia" w:ascii="宋体" w:hAnsi="宋体" w:eastAsia="宋体" w:cs="宋体"/>
          <w:b/>
          <w:bCs/>
          <w:sz w:val="44"/>
          <w:szCs w:val="44"/>
        </w:rPr>
        <w:t>年度政府信息公开工作</w:t>
      </w:r>
      <w:r>
        <w:rPr>
          <w:rFonts w:hint="eastAsia" w:ascii="宋体" w:hAnsi="宋体" w:eastAsia="宋体" w:cs="宋体"/>
          <w:b/>
          <w:bCs/>
          <w:sz w:val="44"/>
          <w:szCs w:val="44"/>
          <w:lang w:eastAsia="zh-CN"/>
        </w:rPr>
        <w:t>年度报告</w:t>
      </w:r>
    </w:p>
    <w:p w14:paraId="080F9C4F">
      <w:pPr>
        <w:spacing w:line="240" w:lineRule="auto"/>
        <w:jc w:val="center"/>
        <w:rPr>
          <w:rFonts w:hint="eastAsia" w:ascii="宋体" w:hAnsi="宋体" w:eastAsia="宋体" w:cs="宋体"/>
          <w:b/>
          <w:bCs/>
          <w:sz w:val="13"/>
          <w:szCs w:val="13"/>
          <w:lang w:eastAsia="zh-CN"/>
        </w:rPr>
      </w:pPr>
    </w:p>
    <w:p w14:paraId="45972A2E">
      <w:pPr>
        <w:numPr>
          <w:ilvl w:val="0"/>
          <w:numId w:val="0"/>
        </w:numPr>
        <w:ind w:firstLine="640" w:firstLineChars="200"/>
        <w:rPr>
          <w:rFonts w:hint="eastAsia" w:ascii="仿宋" w:hAnsi="仿宋" w:eastAsia="仿宋" w:cs="仿宋"/>
        </w:rPr>
      </w:pPr>
      <w:r>
        <w:rPr>
          <w:rFonts w:hint="eastAsia" w:ascii="仿宋" w:hAnsi="仿宋" w:eastAsia="仿宋" w:cs="仿宋"/>
        </w:rPr>
        <w:t>20</w:t>
      </w:r>
      <w:r>
        <w:rPr>
          <w:rFonts w:hint="eastAsia" w:ascii="仿宋" w:hAnsi="仿宋" w:eastAsia="仿宋" w:cs="仿宋"/>
          <w:lang w:val="en-US" w:eastAsia="zh-CN"/>
        </w:rPr>
        <w:t>24</w:t>
      </w:r>
      <w:r>
        <w:rPr>
          <w:rFonts w:hint="eastAsia" w:ascii="仿宋" w:hAnsi="仿宋" w:eastAsia="仿宋" w:cs="仿宋"/>
        </w:rPr>
        <w:t>年以来，</w:t>
      </w:r>
      <w:r>
        <w:rPr>
          <w:rFonts w:hint="eastAsia" w:ascii="仿宋" w:hAnsi="仿宋" w:eastAsia="仿宋" w:cs="仿宋"/>
          <w:lang w:val="en-US" w:eastAsia="zh-CN"/>
        </w:rPr>
        <w:t>我局</w:t>
      </w:r>
      <w:r>
        <w:rPr>
          <w:rFonts w:hint="eastAsia" w:ascii="仿宋" w:hAnsi="仿宋" w:eastAsia="仿宋" w:cs="仿宋"/>
        </w:rPr>
        <w:t>坚持以习近平新时代中国特色社会主义思想为指导，全面贯彻落实党的二十大和二十届</w:t>
      </w:r>
      <w:r>
        <w:rPr>
          <w:rFonts w:hint="eastAsia" w:ascii="仿宋" w:hAnsi="仿宋" w:eastAsia="仿宋" w:cs="仿宋"/>
          <w:lang w:val="en-US" w:eastAsia="zh-CN"/>
        </w:rPr>
        <w:t>二中、三中全会</w:t>
      </w:r>
      <w:r>
        <w:rPr>
          <w:rFonts w:hint="eastAsia" w:ascii="仿宋" w:hAnsi="仿宋" w:eastAsia="仿宋" w:cs="仿宋"/>
        </w:rPr>
        <w:t>精神，深入践行习近平法治思想，不断加强政府信息公开工作，认真贯彻落实《中华人民共和国政府信息公开条例》及县政府信息公开各项管理规定，坚持依法公开、公平公正、讲求实效、明确责任、强化监督的原则，便利群众工作，提高</w:t>
      </w:r>
      <w:r>
        <w:rPr>
          <w:rFonts w:hint="eastAsia" w:ascii="仿宋" w:hAnsi="仿宋" w:eastAsia="仿宋" w:cs="仿宋"/>
          <w:lang w:val="en-US" w:eastAsia="zh-CN"/>
        </w:rPr>
        <w:t>司法行政</w:t>
      </w:r>
      <w:r>
        <w:rPr>
          <w:rFonts w:hint="eastAsia" w:ascii="仿宋" w:hAnsi="仿宋" w:eastAsia="仿宋" w:cs="仿宋"/>
        </w:rPr>
        <w:t>工作的透明度</w:t>
      </w:r>
      <w:r>
        <w:rPr>
          <w:rFonts w:hint="eastAsia" w:ascii="仿宋" w:hAnsi="仿宋" w:eastAsia="仿宋" w:cs="仿宋"/>
          <w:lang w:eastAsia="zh-CN"/>
        </w:rPr>
        <w:t>，</w:t>
      </w:r>
      <w:r>
        <w:rPr>
          <w:rFonts w:hint="eastAsia" w:ascii="仿宋" w:hAnsi="仿宋" w:eastAsia="仿宋" w:cs="仿宋"/>
        </w:rPr>
        <w:t>及时准确地公开信息，推进我局信息公开工作。现对我局</w:t>
      </w:r>
      <w:r>
        <w:rPr>
          <w:rFonts w:hint="eastAsia" w:ascii="仿宋" w:hAnsi="仿宋" w:eastAsia="仿宋" w:cs="仿宋"/>
          <w:lang w:val="en-US" w:eastAsia="zh-CN"/>
        </w:rPr>
        <w:t>2024</w:t>
      </w:r>
      <w:r>
        <w:rPr>
          <w:rFonts w:hint="eastAsia" w:ascii="仿宋" w:hAnsi="仿宋" w:eastAsia="仿宋" w:cs="仿宋"/>
        </w:rPr>
        <w:t>年度政府信息公开工作开展情况报告如下：</w:t>
      </w:r>
    </w:p>
    <w:p w14:paraId="3E48EC7C">
      <w:pPr>
        <w:numPr>
          <w:ilvl w:val="0"/>
          <w:numId w:val="1"/>
        </w:numPr>
        <w:ind w:left="800" w:leftChars="0" w:firstLine="0" w:firstLineChars="0"/>
        <w:rPr>
          <w:rFonts w:hint="eastAsia" w:ascii="黑体" w:hAnsi="黑体" w:eastAsia="黑体" w:cs="黑体"/>
        </w:rPr>
      </w:pPr>
      <w:r>
        <w:rPr>
          <w:rFonts w:hint="eastAsia" w:ascii="黑体" w:hAnsi="黑体" w:eastAsia="黑体" w:cs="黑体"/>
        </w:rPr>
        <w:t xml:space="preserve">总体情况 </w:t>
      </w:r>
    </w:p>
    <w:p w14:paraId="282EA697">
      <w:pPr>
        <w:numPr>
          <w:ilvl w:val="0"/>
          <w:numId w:val="0"/>
        </w:numPr>
        <w:ind w:firstLine="640" w:firstLineChars="200"/>
        <w:rPr>
          <w:rFonts w:hint="eastAsia" w:ascii="仿宋" w:hAnsi="仿宋" w:eastAsia="仿宋" w:cs="仿宋"/>
        </w:rPr>
      </w:pPr>
      <w:r>
        <w:rPr>
          <w:rFonts w:hint="eastAsia" w:ascii="仿宋" w:hAnsi="仿宋" w:eastAsia="仿宋" w:cs="仿宋"/>
        </w:rPr>
        <w:t>年初将政务公开工作列入工作要点，与其他业务工作同部署、同安排，</w:t>
      </w:r>
      <w:r>
        <w:rPr>
          <w:rFonts w:hint="eastAsia" w:ascii="仿宋" w:hAnsi="仿宋" w:eastAsia="仿宋" w:cs="仿宋"/>
          <w:lang w:val="en-US" w:eastAsia="zh-CN"/>
        </w:rPr>
        <w:t>制定了</w:t>
      </w:r>
      <w:r>
        <w:rPr>
          <w:rFonts w:hint="eastAsia" w:ascii="仿宋" w:hAnsi="仿宋" w:eastAsia="仿宋" w:cs="仿宋"/>
        </w:rPr>
        <w:t>公开工作计划，指导全</w:t>
      </w:r>
      <w:r>
        <w:rPr>
          <w:rFonts w:hint="eastAsia" w:ascii="仿宋" w:hAnsi="仿宋" w:eastAsia="仿宋" w:cs="仿宋"/>
          <w:lang w:val="en-US" w:eastAsia="zh-CN"/>
        </w:rPr>
        <w:t>局</w:t>
      </w:r>
      <w:r>
        <w:rPr>
          <w:rFonts w:hint="eastAsia" w:ascii="仿宋" w:hAnsi="仿宋" w:eastAsia="仿宋" w:cs="仿宋"/>
        </w:rPr>
        <w:t>政府信息公开工作有序进行。我局建立一把手负总责、分管领导主抓、各股室共同参与、局法制办专职负责的工作机制。</w:t>
      </w:r>
    </w:p>
    <w:p w14:paraId="43310129">
      <w:pPr>
        <w:numPr>
          <w:ilvl w:val="0"/>
          <w:numId w:val="0"/>
        </w:numPr>
        <w:ind w:firstLine="640" w:firstLineChars="200"/>
        <w:rPr>
          <w:rFonts w:hint="eastAsia" w:ascii="仿宋" w:hAnsi="仿宋" w:eastAsia="仿宋" w:cs="仿宋"/>
        </w:rPr>
      </w:pPr>
      <w:r>
        <w:rPr>
          <w:rFonts w:hint="eastAsia" w:ascii="仿宋" w:hAnsi="仿宋" w:eastAsia="仿宋" w:cs="仿宋"/>
          <w:lang w:val="en-US" w:eastAsia="zh-CN"/>
        </w:rPr>
        <w:t>（一）2024</w:t>
      </w:r>
      <w:r>
        <w:rPr>
          <w:rFonts w:hint="eastAsia" w:ascii="仿宋" w:hAnsi="仿宋" w:eastAsia="仿宋" w:cs="仿宋"/>
        </w:rPr>
        <w:t>年，我局进一步规范政务信息发布程序</w:t>
      </w:r>
      <w:r>
        <w:rPr>
          <w:rFonts w:hint="eastAsia" w:ascii="仿宋" w:hAnsi="仿宋" w:eastAsia="仿宋" w:cs="仿宋"/>
          <w:lang w:eastAsia="zh-CN"/>
        </w:rPr>
        <w:t>，</w:t>
      </w:r>
      <w:r>
        <w:rPr>
          <w:rFonts w:hint="eastAsia" w:ascii="仿宋" w:hAnsi="仿宋" w:eastAsia="仿宋" w:cs="仿宋"/>
        </w:rPr>
        <w:t>认真按照“谁发布，谁审查”和“事前审查”原则，严格实行信息提供</w:t>
      </w:r>
      <w:r>
        <w:rPr>
          <w:rFonts w:hint="eastAsia" w:ascii="仿宋" w:hAnsi="仿宋" w:eastAsia="仿宋" w:cs="仿宋"/>
          <w:lang w:val="en-US" w:eastAsia="zh-CN"/>
        </w:rPr>
        <w:t>科室</w:t>
      </w:r>
      <w:r>
        <w:rPr>
          <w:rFonts w:hint="eastAsia" w:ascii="仿宋" w:hAnsi="仿宋" w:eastAsia="仿宋" w:cs="仿宋"/>
        </w:rPr>
        <w:t>、股室自审、信息发布</w:t>
      </w:r>
      <w:r>
        <w:rPr>
          <w:rFonts w:hint="eastAsia" w:ascii="仿宋" w:hAnsi="仿宋" w:eastAsia="仿宋" w:cs="仿宋"/>
          <w:lang w:val="en-US" w:eastAsia="zh-CN"/>
        </w:rPr>
        <w:t>科室</w:t>
      </w:r>
      <w:r>
        <w:rPr>
          <w:rFonts w:hint="eastAsia" w:ascii="仿宋" w:hAnsi="仿宋" w:eastAsia="仿宋" w:cs="仿宋"/>
        </w:rPr>
        <w:t>审查和分管领导审核批准“三审”</w:t>
      </w:r>
      <w:r>
        <w:rPr>
          <w:rFonts w:hint="eastAsia" w:ascii="仿宋" w:hAnsi="仿宋" w:eastAsia="仿宋" w:cs="仿宋"/>
          <w:lang w:eastAsia="zh-CN"/>
        </w:rPr>
        <w:t>制度</w:t>
      </w:r>
      <w:r>
        <w:rPr>
          <w:rFonts w:hint="eastAsia" w:ascii="仿宋" w:hAnsi="仿宋" w:eastAsia="仿宋" w:cs="仿宋"/>
        </w:rPr>
        <w:t>，对政务公开信息进行严格的审查把关，严格执行政务公开保密审查制度，坚决杜绝涉密信息或敏感信息在互联网网站发布的现象发生</w:t>
      </w:r>
      <w:r>
        <w:rPr>
          <w:rFonts w:hint="eastAsia" w:ascii="仿宋" w:hAnsi="仿宋" w:eastAsia="仿宋" w:cs="仿宋"/>
          <w:lang w:eastAsia="zh-CN"/>
        </w:rPr>
        <w:t>，</w:t>
      </w:r>
      <w:r>
        <w:rPr>
          <w:rFonts w:hint="eastAsia" w:ascii="仿宋" w:hAnsi="仿宋" w:eastAsia="仿宋" w:cs="仿宋"/>
        </w:rPr>
        <w:t>坚决做到涉密不上网，上网不涉密。</w:t>
      </w:r>
    </w:p>
    <w:p w14:paraId="3F168FAA">
      <w:pPr>
        <w:numPr>
          <w:ilvl w:val="0"/>
          <w:numId w:val="0"/>
        </w:numPr>
        <w:ind w:firstLine="64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rPr>
        <w:t>信息公开的内容。一是日常司法行政工作动态信息；二是法律法规解读；三是宪法等各种专题普法内容；四是各类法律宣传片和宣传标语；五是积极探索创新，不断推进司法行政改革等相关信息；六是其他需要公开的相关信息。     </w:t>
      </w:r>
    </w:p>
    <w:p w14:paraId="0A23CE0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二、主动公开政府信息情况</w:t>
      </w:r>
    </w:p>
    <w:tbl>
      <w:tblPr>
        <w:tblStyle w:val="2"/>
        <w:tblW w:w="8496" w:type="dxa"/>
        <w:tblInd w:w="0" w:type="dxa"/>
        <w:shd w:val="clear" w:color="auto" w:fill="FFFFFF"/>
        <w:tblLayout w:type="fixed"/>
        <w:tblCellMar>
          <w:top w:w="0" w:type="dxa"/>
          <w:left w:w="0" w:type="dxa"/>
          <w:bottom w:w="0" w:type="dxa"/>
          <w:right w:w="0" w:type="dxa"/>
        </w:tblCellMar>
      </w:tblPr>
      <w:tblGrid>
        <w:gridCol w:w="2346"/>
        <w:gridCol w:w="2100"/>
        <w:gridCol w:w="2025"/>
        <w:gridCol w:w="2025"/>
      </w:tblGrid>
      <w:tr w14:paraId="2A8DE0C8">
        <w:tblPrEx>
          <w:tblCellMar>
            <w:top w:w="0" w:type="dxa"/>
            <w:left w:w="0" w:type="dxa"/>
            <w:bottom w:w="0" w:type="dxa"/>
            <w:right w:w="0" w:type="dxa"/>
          </w:tblCellMar>
        </w:tblPrEx>
        <w:trPr>
          <w:trHeight w:val="495"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077A86">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第二十条第（一）项</w:t>
            </w:r>
          </w:p>
        </w:tc>
      </w:tr>
      <w:tr w14:paraId="7BB2D11E">
        <w:tblPrEx>
          <w:tblCellMar>
            <w:top w:w="0" w:type="dxa"/>
            <w:left w:w="0" w:type="dxa"/>
            <w:bottom w:w="0" w:type="dxa"/>
            <w:right w:w="0" w:type="dxa"/>
          </w:tblCellMar>
        </w:tblPrEx>
        <w:trPr>
          <w:trHeight w:val="564"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016919">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0C9AD0">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rPr>
              <w:t>本年</w:t>
            </w:r>
            <w:r>
              <w:rPr>
                <w:rFonts w:hint="eastAsia" w:ascii="仿宋" w:hAnsi="仿宋" w:eastAsia="仿宋" w:cs="仿宋"/>
                <w:sz w:val="30"/>
                <w:szCs w:val="30"/>
                <w:lang w:val="en-US" w:eastAsia="zh-CN"/>
              </w:rPr>
              <w:t>制发件数</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E738B2">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rPr>
              <w:t>本年</w:t>
            </w:r>
            <w:r>
              <w:rPr>
                <w:rFonts w:hint="eastAsia" w:ascii="仿宋" w:hAnsi="仿宋" w:eastAsia="仿宋" w:cs="仿宋"/>
                <w:sz w:val="30"/>
                <w:szCs w:val="30"/>
                <w:lang w:val="en-US" w:eastAsia="zh-CN"/>
              </w:rPr>
              <w:t>废止件数</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22DBF3">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现行有效件数</w:t>
            </w:r>
          </w:p>
        </w:tc>
      </w:tr>
      <w:tr w14:paraId="5E1CE680">
        <w:tblPrEx>
          <w:tblCellMar>
            <w:top w:w="0" w:type="dxa"/>
            <w:left w:w="0" w:type="dxa"/>
            <w:bottom w:w="0" w:type="dxa"/>
            <w:right w:w="0" w:type="dxa"/>
          </w:tblCellMar>
        </w:tblPrEx>
        <w:trPr>
          <w:trHeight w:val="392"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A50B45">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规章</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0EDAC3">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959EB8">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25E7119">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46C15514">
        <w:tblPrEx>
          <w:tblCellMar>
            <w:top w:w="0" w:type="dxa"/>
            <w:left w:w="0" w:type="dxa"/>
            <w:bottom w:w="0" w:type="dxa"/>
            <w:right w:w="0" w:type="dxa"/>
          </w:tblCellMar>
        </w:tblPrEx>
        <w:trPr>
          <w:trHeight w:val="9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A0578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行政</w:t>
            </w:r>
            <w:r>
              <w:rPr>
                <w:rFonts w:hint="eastAsia" w:ascii="仿宋" w:hAnsi="仿宋" w:eastAsia="仿宋" w:cs="仿宋"/>
                <w:sz w:val="30"/>
                <w:szCs w:val="30"/>
              </w:rPr>
              <w:t>规范性文件</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28B2E2">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298CBE">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C9FEEB">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71ED1962">
        <w:tblPrEx>
          <w:shd w:val="clear" w:color="auto" w:fill="FFFFFF"/>
          <w:tblCellMar>
            <w:top w:w="0" w:type="dxa"/>
            <w:left w:w="0" w:type="dxa"/>
            <w:bottom w:w="0" w:type="dxa"/>
            <w:right w:w="0" w:type="dxa"/>
          </w:tblCellMar>
        </w:tblPrEx>
        <w:trPr>
          <w:trHeight w:val="485"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7D9DE1">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第二十条第（五）项</w:t>
            </w:r>
          </w:p>
        </w:tc>
      </w:tr>
      <w:tr w14:paraId="1A556095">
        <w:tblPrEx>
          <w:tblCellMar>
            <w:top w:w="0" w:type="dxa"/>
            <w:left w:w="0" w:type="dxa"/>
            <w:bottom w:w="0" w:type="dxa"/>
            <w:right w:w="0" w:type="dxa"/>
          </w:tblCellMar>
        </w:tblPrEx>
        <w:trPr>
          <w:trHeight w:val="63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68BEC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F0D6EE">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本年处理决定数量</w:t>
            </w:r>
          </w:p>
        </w:tc>
      </w:tr>
      <w:tr w14:paraId="4102B270">
        <w:tblPrEx>
          <w:shd w:val="clear" w:color="auto" w:fill="FFFFFF"/>
          <w:tblCellMar>
            <w:top w:w="0" w:type="dxa"/>
            <w:left w:w="0" w:type="dxa"/>
            <w:bottom w:w="0" w:type="dxa"/>
            <w:right w:w="0" w:type="dxa"/>
          </w:tblCellMar>
        </w:tblPrEx>
        <w:trPr>
          <w:trHeight w:val="52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730A3F">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行政许可</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1E8A8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4A1E0F44">
        <w:tblPrEx>
          <w:tblCellMar>
            <w:top w:w="0" w:type="dxa"/>
            <w:left w:w="0" w:type="dxa"/>
            <w:bottom w:w="0" w:type="dxa"/>
            <w:right w:w="0" w:type="dxa"/>
          </w:tblCellMar>
        </w:tblPrEx>
        <w:trPr>
          <w:trHeight w:val="405"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8CE76F">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第二十条第（六）项</w:t>
            </w:r>
          </w:p>
        </w:tc>
      </w:tr>
      <w:tr w14:paraId="05D35330">
        <w:tblPrEx>
          <w:tblCellMar>
            <w:top w:w="0" w:type="dxa"/>
            <w:left w:w="0" w:type="dxa"/>
            <w:bottom w:w="0" w:type="dxa"/>
            <w:right w:w="0" w:type="dxa"/>
          </w:tblCellMar>
        </w:tblPrEx>
        <w:trPr>
          <w:trHeight w:val="63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965A91A">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3D58BD">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本年处理决定数量</w:t>
            </w:r>
          </w:p>
        </w:tc>
      </w:tr>
      <w:tr w14:paraId="6786011B">
        <w:tblPrEx>
          <w:tblCellMar>
            <w:top w:w="0" w:type="dxa"/>
            <w:left w:w="0" w:type="dxa"/>
            <w:bottom w:w="0" w:type="dxa"/>
            <w:right w:w="0" w:type="dxa"/>
          </w:tblCellMar>
        </w:tblPrEx>
        <w:trPr>
          <w:trHeight w:val="43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356096">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行政处罚</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BE5B92">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273FD01A">
        <w:tblPrEx>
          <w:tblCellMar>
            <w:top w:w="0" w:type="dxa"/>
            <w:left w:w="0" w:type="dxa"/>
            <w:bottom w:w="0" w:type="dxa"/>
            <w:right w:w="0" w:type="dxa"/>
          </w:tblCellMar>
        </w:tblPrEx>
        <w:trPr>
          <w:trHeight w:val="40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51C44B">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行政强制</w:t>
            </w:r>
          </w:p>
        </w:tc>
        <w:tc>
          <w:tcPr>
            <w:tcW w:w="61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AEBD05">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0</w:t>
            </w:r>
          </w:p>
        </w:tc>
      </w:tr>
      <w:tr w14:paraId="0F60B596">
        <w:tblPrEx>
          <w:tblCellMar>
            <w:top w:w="0" w:type="dxa"/>
            <w:left w:w="0" w:type="dxa"/>
            <w:bottom w:w="0" w:type="dxa"/>
            <w:right w:w="0" w:type="dxa"/>
          </w:tblCellMar>
        </w:tblPrEx>
        <w:trPr>
          <w:trHeight w:val="480" w:hRule="atLeast"/>
        </w:trPr>
        <w:tc>
          <w:tcPr>
            <w:tcW w:w="8496"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EBEEF3">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第二十条第（八）项</w:t>
            </w:r>
          </w:p>
        </w:tc>
      </w:tr>
      <w:tr w14:paraId="444833F8">
        <w:tblPrEx>
          <w:tblCellMar>
            <w:top w:w="0" w:type="dxa"/>
            <w:left w:w="0" w:type="dxa"/>
            <w:bottom w:w="0" w:type="dxa"/>
            <w:right w:w="0" w:type="dxa"/>
          </w:tblCellMar>
        </w:tblPrEx>
        <w:trPr>
          <w:trHeight w:val="270"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82323F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信息内容</w:t>
            </w:r>
          </w:p>
        </w:tc>
        <w:tc>
          <w:tcPr>
            <w:tcW w:w="6150" w:type="dxa"/>
            <w:gridSpan w:val="3"/>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5016471B">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本年收费金额（单位：万元）</w:t>
            </w:r>
          </w:p>
        </w:tc>
      </w:tr>
      <w:tr w14:paraId="6EEF7220">
        <w:tblPrEx>
          <w:tblCellMar>
            <w:top w:w="0" w:type="dxa"/>
            <w:left w:w="0" w:type="dxa"/>
            <w:bottom w:w="0" w:type="dxa"/>
            <w:right w:w="0" w:type="dxa"/>
          </w:tblCellMar>
        </w:tblPrEx>
        <w:trPr>
          <w:trHeight w:val="555" w:hRule="atLeast"/>
        </w:trPr>
        <w:tc>
          <w:tcPr>
            <w:tcW w:w="23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619FF7">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行政事业性收费</w:t>
            </w:r>
          </w:p>
        </w:tc>
        <w:tc>
          <w:tcPr>
            <w:tcW w:w="6150" w:type="dxa"/>
            <w:gridSpan w:val="3"/>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150C914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w:t>
            </w:r>
          </w:p>
        </w:tc>
      </w:tr>
    </w:tbl>
    <w:p w14:paraId="1C508012">
      <w:pPr>
        <w:keepNext w:val="0"/>
        <w:keepLines w:val="0"/>
        <w:pageBreakBefore w:val="0"/>
        <w:numPr>
          <w:ilvl w:val="0"/>
          <w:numId w:val="0"/>
        </w:numPr>
        <w:kinsoku/>
        <w:overflowPunct/>
        <w:topLinePunct w:val="0"/>
        <w:autoSpaceDE/>
        <w:autoSpaceDN/>
        <w:bidi w:val="0"/>
        <w:adjustRightInd/>
        <w:snapToGrid/>
        <w:spacing w:line="560" w:lineRule="exact"/>
        <w:ind w:left="800"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2"/>
        <w:tblW w:w="8466" w:type="dxa"/>
        <w:tblInd w:w="0" w:type="dxa"/>
        <w:shd w:val="clear" w:color="auto" w:fill="FFFFFF"/>
        <w:tblLayout w:type="fixed"/>
        <w:tblCellMar>
          <w:top w:w="0" w:type="dxa"/>
          <w:left w:w="0" w:type="dxa"/>
          <w:bottom w:w="0" w:type="dxa"/>
          <w:right w:w="0" w:type="dxa"/>
        </w:tblCellMar>
      </w:tblPr>
      <w:tblGrid>
        <w:gridCol w:w="690"/>
        <w:gridCol w:w="930"/>
        <w:gridCol w:w="1926"/>
        <w:gridCol w:w="645"/>
        <w:gridCol w:w="780"/>
        <w:gridCol w:w="810"/>
        <w:gridCol w:w="810"/>
        <w:gridCol w:w="780"/>
        <w:gridCol w:w="555"/>
        <w:gridCol w:w="540"/>
      </w:tblGrid>
      <w:tr w14:paraId="2B401DCB">
        <w:tblPrEx>
          <w:shd w:val="clear" w:color="auto" w:fill="FFFFFF"/>
          <w:tblCellMar>
            <w:top w:w="0" w:type="dxa"/>
            <w:left w:w="0" w:type="dxa"/>
            <w:bottom w:w="0" w:type="dxa"/>
            <w:right w:w="0" w:type="dxa"/>
          </w:tblCellMar>
        </w:tblPrEx>
        <w:tc>
          <w:tcPr>
            <w:tcW w:w="3546"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D526CA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（本列数据的勾稽关系为：第一项加第二项之和，等于第三项加第四项之和）</w:t>
            </w:r>
          </w:p>
        </w:tc>
        <w:tc>
          <w:tcPr>
            <w:tcW w:w="4920"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440C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申请人情况</w:t>
            </w:r>
          </w:p>
        </w:tc>
      </w:tr>
      <w:tr w14:paraId="3B0EA6EF">
        <w:tblPrEx>
          <w:tblCellMar>
            <w:top w:w="0" w:type="dxa"/>
            <w:left w:w="0" w:type="dxa"/>
            <w:bottom w:w="0" w:type="dxa"/>
            <w:right w:w="0" w:type="dxa"/>
          </w:tblCellMar>
        </w:tblPrEx>
        <w:trPr>
          <w:trHeight w:val="455" w:hRule="atLeast"/>
        </w:trPr>
        <w:tc>
          <w:tcPr>
            <w:tcW w:w="3546"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DAD059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64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2B9D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自然人</w:t>
            </w:r>
          </w:p>
        </w:tc>
        <w:tc>
          <w:tcPr>
            <w:tcW w:w="373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4564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法人或其他组织</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87F5F3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总计</w:t>
            </w:r>
          </w:p>
        </w:tc>
      </w:tr>
      <w:tr w14:paraId="75A53E94">
        <w:tblPrEx>
          <w:tblCellMar>
            <w:top w:w="0" w:type="dxa"/>
            <w:left w:w="0" w:type="dxa"/>
            <w:bottom w:w="0" w:type="dxa"/>
            <w:right w:w="0" w:type="dxa"/>
          </w:tblCellMar>
        </w:tblPrEx>
        <w:trPr>
          <w:trHeight w:val="1965" w:hRule="atLeast"/>
        </w:trPr>
        <w:tc>
          <w:tcPr>
            <w:tcW w:w="3546" w:type="dxa"/>
            <w:gridSpan w:val="3"/>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091E5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53708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0884A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商业企业</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A11BB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科研机构</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3561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社会公益组织</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55DDA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A8B8A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其他</w:t>
            </w:r>
          </w:p>
        </w:tc>
        <w:tc>
          <w:tcPr>
            <w:tcW w:w="540" w:type="dxa"/>
            <w:tcBorders>
              <w:top w:val="single" w:color="auto" w:sz="6" w:space="0"/>
              <w:left w:val="single" w:color="auto" w:sz="6" w:space="0"/>
              <w:right w:val="single" w:color="auto" w:sz="6" w:space="0"/>
            </w:tcBorders>
            <w:shd w:val="clear" w:color="auto" w:fill="FFFFFF"/>
            <w:vAlign w:val="center"/>
          </w:tcPr>
          <w:p w14:paraId="34529B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r>
      <w:tr w14:paraId="5000CE56">
        <w:tblPrEx>
          <w:tblCellMar>
            <w:top w:w="0" w:type="dxa"/>
            <w:left w:w="0" w:type="dxa"/>
            <w:bottom w:w="0" w:type="dxa"/>
            <w:right w:w="0" w:type="dxa"/>
          </w:tblCellMar>
        </w:tblPrEx>
        <w:tc>
          <w:tcPr>
            <w:tcW w:w="35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A22A0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一、本年新收政府信息公开申请数量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DDD4C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05D1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95F60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BF8C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3657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040E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6BE66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360AD871">
        <w:tblPrEx>
          <w:tblCellMar>
            <w:top w:w="0" w:type="dxa"/>
            <w:left w:w="0" w:type="dxa"/>
            <w:bottom w:w="0" w:type="dxa"/>
            <w:right w:w="0" w:type="dxa"/>
          </w:tblCellMar>
        </w:tblPrEx>
        <w:tc>
          <w:tcPr>
            <w:tcW w:w="35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ED461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二、上年结转政府信息公开申请数量</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839A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11B1A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1E90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ECF98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1861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0F70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291A6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7AB737AE">
        <w:tblPrEx>
          <w:shd w:val="clear" w:color="auto" w:fill="FFFFFF"/>
          <w:tblCellMar>
            <w:top w:w="0" w:type="dxa"/>
            <w:left w:w="0" w:type="dxa"/>
            <w:bottom w:w="0" w:type="dxa"/>
            <w:right w:w="0" w:type="dxa"/>
          </w:tblCellMar>
        </w:tblPrEx>
        <w:tc>
          <w:tcPr>
            <w:tcW w:w="69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A0A16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三、本年度办理结果</w:t>
            </w:r>
          </w:p>
        </w:tc>
        <w:tc>
          <w:tcPr>
            <w:tcW w:w="285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D1401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（一）予以公开</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EDEB31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8A263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5D72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EC9E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3FDA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2D3D3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A57C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1E71B3CE">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6A9268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285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EE1F5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（二）部分公开（区分处理的，只计这一情形，不计其他情形）</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1F7C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9C03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9C21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A23DB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44927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2A3B1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FB22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67359819">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832A7C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E1538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（三）不予公开</w:t>
            </w: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FB79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1.属于国家秘密</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D6FB4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5EBA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A269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1BFE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E1740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B477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A893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1A3767FE">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A97ADE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8C271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ED789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2.其他法律行政法规禁止公开</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D1B3D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1DAC9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CC74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C9D9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01D93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519CE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1D54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DD6E332">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764CB8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B479B8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63B3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3.危及“三安全一稳定”</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67F4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9ED25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1419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0F649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F1EF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D13C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B66AC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7231D8ED">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B27CE8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58EB2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09362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4.保护第三方合法权益</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B3384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E49A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C32E1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9908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0B22B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CA73E5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D005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DEDBE12">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0D802E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3C7DF2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02755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5.属于三类内部事务信息</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E9E28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CFB8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8C0C4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3EDC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F2D7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C2A5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0D894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29A094F0">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25526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14E34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2FE67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6.属于四类过程性信息</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0802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6919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1D407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FE331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DC3D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3DFD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BC3EC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19648FB">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7B2BEA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A3C472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A8578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7.属于行政执法案卷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A0A5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D2A8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259D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5C06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ABAB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1E1F3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6350E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31E65093">
        <w:tblPrEx>
          <w:tblCellMar>
            <w:top w:w="0" w:type="dxa"/>
            <w:left w:w="0" w:type="dxa"/>
            <w:bottom w:w="0" w:type="dxa"/>
            <w:right w:w="0" w:type="dxa"/>
          </w:tblCellMar>
        </w:tblPrEx>
        <w:trPr>
          <w:trHeight w:val="1135"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2D2AF8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71C4280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D6CD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8.属于行政查询事项</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79E9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454E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C3B0A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9D7E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36A54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5583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DEC8E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23AE9A2F">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1F77FF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37F66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（四）无法提供</w:t>
            </w: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D980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1.本机关不掌握相关政府信息</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FEDC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C0BDC3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69717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F0FC8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2CB5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63CE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78AA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4966DA97">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218ED3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532C0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B799E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2.没有现成信息需要另行制作</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39B39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BD2B3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A7FD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3ACF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24AE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8C18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DB393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6D94B37F">
        <w:tblPrEx>
          <w:shd w:val="clear" w:color="auto" w:fill="FFFFFF"/>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D8547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B1C19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11E76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3.补正后申请内容仍不明确</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CFBA4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4F35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DE437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9306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DEDF88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82AB0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64173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06762D4B">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4F85B84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D87ED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（五）不予处理</w:t>
            </w: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E878E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1.信访举报投诉类申请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99395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BD2C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71597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CA10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C6B8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D681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B319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506BC96F">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0655CD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32AB52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4BAD5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2.重复申请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638E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003F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C5AD8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ADDB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93D9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7B8B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CDE8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2A71B953">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004B525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71282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6D478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3.要求提供公开出版物</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6B98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9071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440D2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FD23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10F2E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35D49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BB2D0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33DEF9BA">
        <w:tblPrEx>
          <w:tblCellMar>
            <w:top w:w="0" w:type="dxa"/>
            <w:left w:w="0" w:type="dxa"/>
            <w:bottom w:w="0" w:type="dxa"/>
            <w:right w:w="0" w:type="dxa"/>
          </w:tblCellMar>
        </w:tblPrEx>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80E461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6388536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EDCB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4.无正当理由大量反复申请</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7473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C671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CA27D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FA783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6FF38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DFDBE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B88F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49F7DF98">
        <w:tblPrEx>
          <w:tblCellMar>
            <w:top w:w="0" w:type="dxa"/>
            <w:left w:w="0" w:type="dxa"/>
            <w:bottom w:w="0" w:type="dxa"/>
            <w:right w:w="0" w:type="dxa"/>
          </w:tblCellMar>
        </w:tblPrEx>
        <w:trPr>
          <w:trHeight w:val="540"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536256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E11CE2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192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2DE63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5.要求行政机关确认或重新出具已获取信息</w:t>
            </w:r>
          </w:p>
        </w:tc>
        <w:tc>
          <w:tcPr>
            <w:tcW w:w="645"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755BEC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68D008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1DBD415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7EB1291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69C9CA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42453A9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71FCFA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1B7F93C3">
        <w:tblPrEx>
          <w:tblCellMar>
            <w:top w:w="0" w:type="dxa"/>
            <w:left w:w="0" w:type="dxa"/>
            <w:bottom w:w="0" w:type="dxa"/>
            <w:right w:w="0" w:type="dxa"/>
          </w:tblCellMar>
        </w:tblPrEx>
        <w:trPr>
          <w:trHeight w:val="1385"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3DF4564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930" w:type="dxa"/>
            <w:vMerge w:val="restart"/>
            <w:tcBorders>
              <w:top w:val="single" w:color="auto" w:sz="6" w:space="0"/>
              <w:left w:val="single" w:color="auto" w:sz="6" w:space="0"/>
              <w:right w:val="single" w:color="auto" w:sz="6" w:space="0"/>
            </w:tcBorders>
            <w:shd w:val="clear" w:color="auto" w:fill="FFFFFF"/>
            <w:tcMar>
              <w:top w:w="0" w:type="dxa"/>
              <w:left w:w="105" w:type="dxa"/>
              <w:bottom w:w="0" w:type="dxa"/>
              <w:right w:w="105" w:type="dxa"/>
            </w:tcMar>
            <w:vAlign w:val="center"/>
          </w:tcPr>
          <w:p w14:paraId="00C7063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（六）其他处理</w:t>
            </w:r>
          </w:p>
        </w:tc>
        <w:tc>
          <w:tcPr>
            <w:tcW w:w="1926" w:type="dxa"/>
            <w:tcBorders>
              <w:top w:val="single" w:color="auto" w:sz="6" w:space="0"/>
              <w:left w:val="single" w:color="auto" w:sz="6" w:space="0"/>
              <w:right w:val="single" w:color="auto" w:sz="4" w:space="0"/>
            </w:tcBorders>
            <w:shd w:val="clear" w:color="auto" w:fill="FFFFFF"/>
            <w:tcMar>
              <w:top w:w="0" w:type="dxa"/>
              <w:left w:w="105" w:type="dxa"/>
              <w:bottom w:w="0" w:type="dxa"/>
              <w:right w:w="105" w:type="dxa"/>
            </w:tcMar>
            <w:vAlign w:val="center"/>
          </w:tcPr>
          <w:p w14:paraId="7D3EB13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1.申请人无正当理由逾期不补正、行政机关不再处理其政府信息公开申请</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9247C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06FF6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0B0D7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88100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F83D4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B6287E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6DCE06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3559B256">
        <w:tblPrEx>
          <w:tblCellMar>
            <w:top w:w="0" w:type="dxa"/>
            <w:left w:w="0" w:type="dxa"/>
            <w:bottom w:w="0" w:type="dxa"/>
            <w:right w:w="0" w:type="dxa"/>
          </w:tblCellMar>
        </w:tblPrEx>
        <w:trPr>
          <w:trHeight w:val="295"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0DBCB7C">
            <w:pPr>
              <w:keepNext w:val="0"/>
              <w:keepLines w:val="0"/>
              <w:pageBreakBefore w:val="0"/>
              <w:widowControl w:val="0"/>
              <w:kinsoku/>
              <w:wordWrap/>
              <w:overflowPunct/>
              <w:topLinePunct w:val="0"/>
              <w:autoSpaceDE/>
              <w:autoSpaceDN/>
              <w:bidi w:val="0"/>
              <w:adjustRightInd/>
              <w:snapToGrid/>
              <w:spacing w:line="380" w:lineRule="exact"/>
              <w:jc w:val="right"/>
              <w:textAlignment w:val="auto"/>
              <w:rPr>
                <w:sz w:val="28"/>
                <w:szCs w:val="28"/>
              </w:rPr>
            </w:pPr>
          </w:p>
        </w:tc>
        <w:tc>
          <w:tcPr>
            <w:tcW w:w="93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14:paraId="2EDFE2B6">
            <w:pPr>
              <w:keepNext w:val="0"/>
              <w:keepLines w:val="0"/>
              <w:pageBreakBefore w:val="0"/>
              <w:widowControl w:val="0"/>
              <w:kinsoku/>
              <w:wordWrap/>
              <w:overflowPunct/>
              <w:topLinePunct w:val="0"/>
              <w:autoSpaceDE/>
              <w:autoSpaceDN/>
              <w:bidi w:val="0"/>
              <w:adjustRightInd/>
              <w:snapToGrid/>
              <w:spacing w:line="380" w:lineRule="exact"/>
              <w:jc w:val="right"/>
              <w:textAlignment w:val="auto"/>
              <w:rPr>
                <w:sz w:val="28"/>
                <w:szCs w:val="28"/>
              </w:rPr>
            </w:pPr>
          </w:p>
        </w:tc>
        <w:tc>
          <w:tcPr>
            <w:tcW w:w="1926"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14:paraId="2BE5764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2.申请人逾期未按收费通知要求缴纳费用、行政机关不再</w:t>
            </w:r>
            <w:bookmarkStart w:id="0" w:name="_GoBack"/>
            <w:r>
              <w:rPr>
                <w:rFonts w:hint="eastAsia" w:ascii="仿宋" w:hAnsi="仿宋" w:eastAsia="仿宋" w:cs="仿宋"/>
                <w:sz w:val="28"/>
                <w:szCs w:val="28"/>
                <w:lang w:val="en-US" w:eastAsia="zh-CN"/>
              </w:rPr>
              <w:t>处理</w:t>
            </w:r>
            <w:bookmarkEnd w:id="0"/>
            <w:r>
              <w:rPr>
                <w:rFonts w:hint="eastAsia" w:ascii="仿宋" w:hAnsi="仿宋" w:eastAsia="仿宋" w:cs="仿宋"/>
                <w:sz w:val="28"/>
                <w:szCs w:val="28"/>
                <w:lang w:val="en-US" w:eastAsia="zh-CN"/>
              </w:rPr>
              <w:t>其政府信息公开申请</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65CE4C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95DB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FCFCE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438C6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C2E29C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B72B8C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52F015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641E07EA">
        <w:tblPrEx>
          <w:tblCellMar>
            <w:top w:w="0" w:type="dxa"/>
            <w:left w:w="0" w:type="dxa"/>
            <w:bottom w:w="0" w:type="dxa"/>
            <w:right w:w="0" w:type="dxa"/>
          </w:tblCellMar>
        </w:tblPrEx>
        <w:trPr>
          <w:trHeight w:val="295" w:hRule="atLeast"/>
        </w:trPr>
        <w:tc>
          <w:tcPr>
            <w:tcW w:w="690" w:type="dxa"/>
            <w:vMerge w:val="continue"/>
            <w:tcBorders>
              <w:left w:val="single" w:color="auto" w:sz="6" w:space="0"/>
              <w:bottom w:val="single" w:color="auto" w:sz="6" w:space="0"/>
              <w:right w:val="single" w:color="auto" w:sz="6" w:space="0"/>
            </w:tcBorders>
            <w:shd w:val="clear" w:color="auto" w:fill="FFFFFF"/>
            <w:vAlign w:val="center"/>
          </w:tcPr>
          <w:p w14:paraId="749F9045">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仿宋" w:hAnsi="仿宋" w:eastAsia="仿宋" w:cs="仿宋"/>
                <w:sz w:val="28"/>
                <w:szCs w:val="28"/>
                <w:lang w:val="en-US" w:eastAsia="zh-CN"/>
              </w:rPr>
            </w:pPr>
          </w:p>
        </w:tc>
        <w:tc>
          <w:tcPr>
            <w:tcW w:w="930" w:type="dxa"/>
            <w:vMerge w:val="continue"/>
            <w:tcBorders>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A28969">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仿宋" w:hAnsi="仿宋" w:eastAsia="仿宋" w:cs="仿宋"/>
                <w:sz w:val="28"/>
                <w:szCs w:val="28"/>
                <w:lang w:val="en-US" w:eastAsia="zh-CN"/>
              </w:rPr>
            </w:pPr>
          </w:p>
        </w:tc>
        <w:tc>
          <w:tcPr>
            <w:tcW w:w="1926"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14:paraId="2A9C6AB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3.其他</w:t>
            </w:r>
          </w:p>
        </w:tc>
        <w:tc>
          <w:tcPr>
            <w:tcW w:w="64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DBDEE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C29F26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3762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84383F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281AD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35DD7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4F423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14:paraId="549EFA50">
        <w:tblPrEx>
          <w:tblCellMar>
            <w:top w:w="0" w:type="dxa"/>
            <w:left w:w="0" w:type="dxa"/>
            <w:bottom w:w="0" w:type="dxa"/>
            <w:right w:w="0" w:type="dxa"/>
          </w:tblCellMar>
        </w:tblPrEx>
        <w:trPr>
          <w:trHeight w:val="90" w:hRule="atLeast"/>
        </w:trPr>
        <w:tc>
          <w:tcPr>
            <w:tcW w:w="690"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14:paraId="248A9E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p>
        </w:tc>
        <w:tc>
          <w:tcPr>
            <w:tcW w:w="2856"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0118F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（七）总计</w:t>
            </w:r>
          </w:p>
        </w:tc>
        <w:tc>
          <w:tcPr>
            <w:tcW w:w="645"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F940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2123B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E66EC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0161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896C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7BC0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4"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4A2DA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r w14:paraId="35C2B0C1">
        <w:tblPrEx>
          <w:tblCellMar>
            <w:top w:w="0" w:type="dxa"/>
            <w:left w:w="0" w:type="dxa"/>
            <w:bottom w:w="0" w:type="dxa"/>
            <w:right w:w="0" w:type="dxa"/>
          </w:tblCellMar>
        </w:tblPrEx>
        <w:trPr>
          <w:trHeight w:val="695" w:hRule="atLeast"/>
        </w:trPr>
        <w:tc>
          <w:tcPr>
            <w:tcW w:w="3546"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AF5A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rPr>
            </w:pPr>
            <w:r>
              <w:rPr>
                <w:rFonts w:hint="eastAsia" w:ascii="仿宋" w:hAnsi="仿宋" w:eastAsia="仿宋" w:cs="仿宋"/>
                <w:sz w:val="28"/>
                <w:szCs w:val="28"/>
              </w:rPr>
              <w:t>四、结转下年度继续办理</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58A3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21C8A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94E68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0FF74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C59F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75C8A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A1539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0</w:t>
            </w:r>
          </w:p>
        </w:tc>
      </w:tr>
    </w:tbl>
    <w:p w14:paraId="140C5790">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585"/>
        <w:gridCol w:w="569"/>
        <w:gridCol w:w="569"/>
        <w:gridCol w:w="570"/>
        <w:gridCol w:w="567"/>
        <w:gridCol w:w="568"/>
        <w:gridCol w:w="568"/>
        <w:gridCol w:w="568"/>
        <w:gridCol w:w="569"/>
        <w:gridCol w:w="568"/>
        <w:gridCol w:w="568"/>
        <w:gridCol w:w="568"/>
        <w:gridCol w:w="569"/>
        <w:gridCol w:w="569"/>
      </w:tblGrid>
      <w:tr w14:paraId="7777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vAlign w:val="center"/>
          </w:tcPr>
          <w:p w14:paraId="526368E0">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行政复议</w:t>
            </w:r>
          </w:p>
        </w:tc>
        <w:tc>
          <w:tcPr>
            <w:tcW w:w="5682" w:type="dxa"/>
            <w:gridSpan w:val="10"/>
            <w:vAlign w:val="center"/>
          </w:tcPr>
          <w:p w14:paraId="19130C8A">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行政诉讼</w:t>
            </w:r>
          </w:p>
        </w:tc>
      </w:tr>
      <w:tr w14:paraId="2A7F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7" w:type="dxa"/>
            <w:vMerge w:val="restart"/>
            <w:vAlign w:val="center"/>
          </w:tcPr>
          <w:p w14:paraId="78E08B5C">
            <w:pPr>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结果维持</w:t>
            </w:r>
          </w:p>
        </w:tc>
        <w:tc>
          <w:tcPr>
            <w:tcW w:w="585" w:type="dxa"/>
            <w:vMerge w:val="restart"/>
            <w:vAlign w:val="center"/>
          </w:tcPr>
          <w:p w14:paraId="26BE47DF">
            <w:pPr>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结果纠正</w:t>
            </w:r>
          </w:p>
        </w:tc>
        <w:tc>
          <w:tcPr>
            <w:tcW w:w="569" w:type="dxa"/>
            <w:vMerge w:val="restart"/>
            <w:vAlign w:val="center"/>
          </w:tcPr>
          <w:p w14:paraId="254BB5FD">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其他结果</w:t>
            </w:r>
          </w:p>
        </w:tc>
        <w:tc>
          <w:tcPr>
            <w:tcW w:w="569" w:type="dxa"/>
            <w:vMerge w:val="restart"/>
            <w:vAlign w:val="center"/>
          </w:tcPr>
          <w:p w14:paraId="7DF486A0">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尚未审结</w:t>
            </w:r>
          </w:p>
        </w:tc>
        <w:tc>
          <w:tcPr>
            <w:tcW w:w="570" w:type="dxa"/>
            <w:vMerge w:val="restart"/>
            <w:vAlign w:val="center"/>
          </w:tcPr>
          <w:p w14:paraId="340D9C3C">
            <w:pPr>
              <w:adjustRightInd w:val="0"/>
              <w:spacing w:line="240" w:lineRule="auto"/>
              <w:jc w:val="center"/>
              <w:rPr>
                <w:rFonts w:ascii="宋体" w:cs="宋体"/>
                <w:sz w:val="24"/>
                <w:szCs w:val="24"/>
              </w:rPr>
            </w:pPr>
          </w:p>
          <w:p w14:paraId="3C674541">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总计</w:t>
            </w:r>
          </w:p>
        </w:tc>
        <w:tc>
          <w:tcPr>
            <w:tcW w:w="2840" w:type="dxa"/>
            <w:gridSpan w:val="5"/>
            <w:vAlign w:val="center"/>
          </w:tcPr>
          <w:p w14:paraId="27BC6799">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未经复议直接起诉</w:t>
            </w:r>
          </w:p>
        </w:tc>
        <w:tc>
          <w:tcPr>
            <w:tcW w:w="2842" w:type="dxa"/>
            <w:gridSpan w:val="5"/>
            <w:vAlign w:val="center"/>
          </w:tcPr>
          <w:p w14:paraId="378737A7">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复议后起诉</w:t>
            </w:r>
          </w:p>
        </w:tc>
      </w:tr>
      <w:tr w14:paraId="2ABB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47" w:type="dxa"/>
            <w:vMerge w:val="continue"/>
            <w:vAlign w:val="center"/>
          </w:tcPr>
          <w:p w14:paraId="1FB10EF7">
            <w:pPr>
              <w:spacing w:line="240" w:lineRule="auto"/>
              <w:jc w:val="center"/>
              <w:rPr>
                <w:rFonts w:hint="eastAsia" w:ascii="仿宋" w:hAnsi="仿宋" w:eastAsia="仿宋" w:cs="仿宋"/>
                <w:sz w:val="24"/>
                <w:szCs w:val="24"/>
                <w:vertAlign w:val="baseline"/>
                <w:lang w:val="en-US" w:eastAsia="zh-CN"/>
              </w:rPr>
            </w:pPr>
          </w:p>
        </w:tc>
        <w:tc>
          <w:tcPr>
            <w:tcW w:w="585" w:type="dxa"/>
            <w:vMerge w:val="continue"/>
            <w:vAlign w:val="center"/>
          </w:tcPr>
          <w:p w14:paraId="4DB97878">
            <w:pPr>
              <w:spacing w:line="240" w:lineRule="auto"/>
              <w:jc w:val="center"/>
              <w:rPr>
                <w:rFonts w:hint="eastAsia" w:ascii="仿宋" w:hAnsi="仿宋" w:eastAsia="仿宋" w:cs="仿宋"/>
                <w:sz w:val="24"/>
                <w:szCs w:val="24"/>
                <w:vertAlign w:val="baseline"/>
                <w:lang w:val="en-US" w:eastAsia="zh-CN"/>
              </w:rPr>
            </w:pPr>
          </w:p>
        </w:tc>
        <w:tc>
          <w:tcPr>
            <w:tcW w:w="569" w:type="dxa"/>
            <w:vMerge w:val="continue"/>
            <w:vAlign w:val="center"/>
          </w:tcPr>
          <w:p w14:paraId="75F7A82F">
            <w:pPr>
              <w:adjustRightInd w:val="0"/>
              <w:spacing w:line="240" w:lineRule="auto"/>
              <w:jc w:val="center"/>
              <w:rPr>
                <w:rFonts w:hint="eastAsia" w:ascii="仿宋" w:hAnsi="仿宋" w:eastAsia="仿宋" w:cs="仿宋"/>
                <w:sz w:val="24"/>
                <w:szCs w:val="24"/>
                <w:vertAlign w:val="baseline"/>
                <w:lang w:val="en-US" w:eastAsia="zh-CN"/>
              </w:rPr>
            </w:pPr>
          </w:p>
        </w:tc>
        <w:tc>
          <w:tcPr>
            <w:tcW w:w="569" w:type="dxa"/>
            <w:vMerge w:val="continue"/>
            <w:vAlign w:val="center"/>
          </w:tcPr>
          <w:p w14:paraId="087F47AB">
            <w:pPr>
              <w:adjustRightInd w:val="0"/>
              <w:spacing w:line="240" w:lineRule="auto"/>
              <w:jc w:val="center"/>
              <w:rPr>
                <w:rFonts w:hint="eastAsia" w:ascii="仿宋" w:hAnsi="仿宋" w:eastAsia="仿宋" w:cs="仿宋"/>
                <w:sz w:val="24"/>
                <w:szCs w:val="24"/>
                <w:vertAlign w:val="baseline"/>
                <w:lang w:val="en-US" w:eastAsia="zh-CN"/>
              </w:rPr>
            </w:pPr>
          </w:p>
        </w:tc>
        <w:tc>
          <w:tcPr>
            <w:tcW w:w="570" w:type="dxa"/>
            <w:vMerge w:val="continue"/>
            <w:vAlign w:val="center"/>
          </w:tcPr>
          <w:p w14:paraId="5E8ABA25">
            <w:pPr>
              <w:adjustRightInd w:val="0"/>
              <w:spacing w:line="240" w:lineRule="auto"/>
              <w:jc w:val="center"/>
              <w:rPr>
                <w:rFonts w:hint="eastAsia" w:ascii="仿宋" w:hAnsi="仿宋" w:eastAsia="仿宋" w:cs="仿宋"/>
                <w:sz w:val="24"/>
                <w:szCs w:val="24"/>
                <w:vertAlign w:val="baseline"/>
                <w:lang w:val="en-US" w:eastAsia="zh-CN"/>
              </w:rPr>
            </w:pPr>
          </w:p>
        </w:tc>
        <w:tc>
          <w:tcPr>
            <w:tcW w:w="567" w:type="dxa"/>
            <w:vAlign w:val="center"/>
          </w:tcPr>
          <w:p w14:paraId="6C5CA197">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结果维持</w:t>
            </w:r>
          </w:p>
        </w:tc>
        <w:tc>
          <w:tcPr>
            <w:tcW w:w="568" w:type="dxa"/>
            <w:vAlign w:val="center"/>
          </w:tcPr>
          <w:p w14:paraId="2B357BDF">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结果纠正</w:t>
            </w:r>
          </w:p>
        </w:tc>
        <w:tc>
          <w:tcPr>
            <w:tcW w:w="568" w:type="dxa"/>
            <w:vAlign w:val="center"/>
          </w:tcPr>
          <w:p w14:paraId="72E8C067">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其他结果</w:t>
            </w:r>
          </w:p>
        </w:tc>
        <w:tc>
          <w:tcPr>
            <w:tcW w:w="568" w:type="dxa"/>
            <w:vAlign w:val="center"/>
          </w:tcPr>
          <w:p w14:paraId="14E28995">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尚未审结</w:t>
            </w:r>
          </w:p>
        </w:tc>
        <w:tc>
          <w:tcPr>
            <w:tcW w:w="569" w:type="dxa"/>
            <w:vAlign w:val="center"/>
          </w:tcPr>
          <w:p w14:paraId="70B39233">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总计</w:t>
            </w:r>
          </w:p>
        </w:tc>
        <w:tc>
          <w:tcPr>
            <w:tcW w:w="568" w:type="dxa"/>
            <w:vAlign w:val="center"/>
          </w:tcPr>
          <w:p w14:paraId="0FBCCF8C">
            <w:pPr>
              <w:adjustRightInd w:val="0"/>
              <w:spacing w:line="240" w:lineRule="auto"/>
              <w:jc w:val="center"/>
              <w:rPr>
                <w:rFonts w:hint="default" w:ascii="仿宋" w:hAnsi="仿宋" w:eastAsia="仿宋" w:cs="仿宋"/>
                <w:sz w:val="24"/>
                <w:szCs w:val="24"/>
                <w:vertAlign w:val="baseline"/>
                <w:lang w:val="en-US" w:eastAsia="zh-CN"/>
              </w:rPr>
            </w:pPr>
            <w:r>
              <w:rPr>
                <w:rFonts w:hint="eastAsia" w:ascii="宋体" w:hAnsi="宋体" w:cs="宋体"/>
                <w:sz w:val="24"/>
                <w:szCs w:val="24"/>
              </w:rPr>
              <w:t>结果维持</w:t>
            </w:r>
          </w:p>
        </w:tc>
        <w:tc>
          <w:tcPr>
            <w:tcW w:w="568" w:type="dxa"/>
            <w:vAlign w:val="center"/>
          </w:tcPr>
          <w:p w14:paraId="7C46E7CB">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结果纠正</w:t>
            </w:r>
          </w:p>
        </w:tc>
        <w:tc>
          <w:tcPr>
            <w:tcW w:w="568" w:type="dxa"/>
            <w:vAlign w:val="center"/>
          </w:tcPr>
          <w:p w14:paraId="4F5653FD">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其他结果</w:t>
            </w:r>
          </w:p>
        </w:tc>
        <w:tc>
          <w:tcPr>
            <w:tcW w:w="569" w:type="dxa"/>
            <w:vAlign w:val="center"/>
          </w:tcPr>
          <w:p w14:paraId="521628C1">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尚未审结</w:t>
            </w:r>
          </w:p>
        </w:tc>
        <w:tc>
          <w:tcPr>
            <w:tcW w:w="569" w:type="dxa"/>
            <w:vAlign w:val="center"/>
          </w:tcPr>
          <w:p w14:paraId="56B65E9D">
            <w:pPr>
              <w:adjustRightInd w:val="0"/>
              <w:spacing w:line="240" w:lineRule="auto"/>
              <w:jc w:val="center"/>
              <w:rPr>
                <w:rFonts w:hint="eastAsia" w:ascii="仿宋" w:hAnsi="仿宋" w:eastAsia="仿宋" w:cs="仿宋"/>
                <w:sz w:val="24"/>
                <w:szCs w:val="24"/>
                <w:vertAlign w:val="baseline"/>
                <w:lang w:val="en-US" w:eastAsia="zh-CN"/>
              </w:rPr>
            </w:pPr>
            <w:r>
              <w:rPr>
                <w:rFonts w:hint="eastAsia" w:ascii="宋体" w:hAnsi="宋体" w:cs="宋体"/>
                <w:sz w:val="24"/>
                <w:szCs w:val="24"/>
              </w:rPr>
              <w:t>总计</w:t>
            </w:r>
          </w:p>
        </w:tc>
      </w:tr>
      <w:tr w14:paraId="7627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47" w:type="dxa"/>
            <w:vAlign w:val="center"/>
          </w:tcPr>
          <w:p w14:paraId="06007E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85" w:type="dxa"/>
            <w:vAlign w:val="center"/>
          </w:tcPr>
          <w:p w14:paraId="6EFFF0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5887F53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17FAB61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70" w:type="dxa"/>
            <w:vAlign w:val="center"/>
          </w:tcPr>
          <w:p w14:paraId="211F2FD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7" w:type="dxa"/>
            <w:vAlign w:val="center"/>
          </w:tcPr>
          <w:p w14:paraId="5585CCC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5C31E3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1AE225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3FBD361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3F98B33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7FE77A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39CBCD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8" w:type="dxa"/>
            <w:vAlign w:val="center"/>
          </w:tcPr>
          <w:p w14:paraId="490EE52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2A5D030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c>
          <w:tcPr>
            <w:tcW w:w="569" w:type="dxa"/>
            <w:vAlign w:val="center"/>
          </w:tcPr>
          <w:p w14:paraId="1350247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8"/>
                <w:szCs w:val="28"/>
                <w:lang w:val="en-US" w:eastAsia="zh-CN"/>
              </w:rPr>
              <w:t>0</w:t>
            </w:r>
          </w:p>
        </w:tc>
      </w:tr>
    </w:tbl>
    <w:p w14:paraId="505D5BD0">
      <w:pPr>
        <w:numPr>
          <w:ilvl w:val="0"/>
          <w:numId w:val="2"/>
        </w:numPr>
        <w:ind w:firstLine="640" w:firstLineChars="200"/>
        <w:rPr>
          <w:rFonts w:hint="eastAsia" w:ascii="黑体" w:hAnsi="黑体" w:eastAsia="黑体" w:cs="黑体"/>
          <w:lang w:val="en-US" w:eastAsia="zh-CN"/>
        </w:rPr>
      </w:pPr>
      <w:r>
        <w:rPr>
          <w:rFonts w:hint="eastAsia" w:ascii="黑体" w:hAnsi="黑体" w:eastAsia="黑体" w:cs="黑体"/>
          <w:lang w:val="en-US" w:eastAsia="zh-CN"/>
        </w:rPr>
        <w:t>存在的主要问题及改进情况</w:t>
      </w:r>
    </w:p>
    <w:p w14:paraId="007E49FE">
      <w:pPr>
        <w:numPr>
          <w:ilvl w:val="0"/>
          <w:numId w:val="0"/>
        </w:numPr>
        <w:ind w:firstLine="640" w:firstLineChars="200"/>
        <w:rPr>
          <w:rFonts w:hint="default" w:ascii="仿宋" w:hAnsi="仿宋" w:eastAsia="仿宋" w:cs="仿宋"/>
          <w:lang w:val="en-US" w:eastAsia="zh-CN"/>
        </w:rPr>
      </w:pPr>
      <w:r>
        <w:rPr>
          <w:rFonts w:hint="eastAsia" w:ascii="仿宋" w:hAnsi="仿宋" w:eastAsia="仿宋" w:cs="仿宋"/>
          <w:lang w:val="en-US" w:eastAsia="zh-CN"/>
        </w:rPr>
        <w:t>2024</w:t>
      </w:r>
      <w:r>
        <w:rPr>
          <w:rFonts w:hint="default" w:ascii="仿宋" w:hAnsi="仿宋" w:eastAsia="仿宋" w:cs="仿宋"/>
          <w:lang w:val="en-US" w:eastAsia="zh-CN"/>
        </w:rPr>
        <w:t>年度，</w:t>
      </w:r>
      <w:r>
        <w:rPr>
          <w:rFonts w:hint="eastAsia" w:ascii="仿宋" w:hAnsi="仿宋" w:eastAsia="仿宋" w:cs="仿宋"/>
          <w:lang w:val="en-US" w:eastAsia="zh-CN"/>
        </w:rPr>
        <w:t>我局政务信息公开工作在局领导高度重视和各股室共同努力下取得了一定进步，</w:t>
      </w:r>
      <w:r>
        <w:rPr>
          <w:rFonts w:hint="default" w:ascii="仿宋" w:hAnsi="仿宋" w:eastAsia="仿宋" w:cs="仿宋"/>
          <w:lang w:val="en-US" w:eastAsia="zh-CN"/>
        </w:rPr>
        <w:t>但仍然存有不足，一方面是政务信息公开质量有待提高</w:t>
      </w:r>
      <w:r>
        <w:rPr>
          <w:rFonts w:hint="eastAsia" w:ascii="仿宋" w:hAnsi="仿宋" w:eastAsia="仿宋" w:cs="仿宋"/>
          <w:lang w:val="en-US" w:eastAsia="zh-CN"/>
        </w:rPr>
        <w:t>，公开内容和公开形式不够丰富，</w:t>
      </w:r>
      <w:r>
        <w:rPr>
          <w:rFonts w:hint="default" w:ascii="仿宋" w:hAnsi="仿宋" w:eastAsia="仿宋" w:cs="仿宋"/>
          <w:lang w:val="en-US" w:eastAsia="zh-CN"/>
        </w:rPr>
        <w:t>另一方面是网络管理水平仍存在欠缺。为此，我局将把政务公开、提高行政水平作为重要措施落实到各项工作中</w:t>
      </w:r>
      <w:r>
        <w:rPr>
          <w:rFonts w:hint="eastAsia" w:ascii="仿宋" w:hAnsi="仿宋" w:eastAsia="仿宋" w:cs="仿宋"/>
          <w:lang w:val="en-US" w:eastAsia="zh-CN"/>
        </w:rPr>
        <w:t>，</w:t>
      </w:r>
      <w:r>
        <w:rPr>
          <w:rFonts w:hint="default" w:ascii="仿宋" w:hAnsi="仿宋" w:eastAsia="仿宋" w:cs="仿宋"/>
          <w:lang w:val="en-US" w:eastAsia="zh-CN"/>
        </w:rPr>
        <w:t>自觉把政务公开作为接受社会各界监督主渠道，作为联系人民群众的桥梁和纽带</w:t>
      </w:r>
      <w:r>
        <w:rPr>
          <w:rFonts w:hint="eastAsia" w:ascii="仿宋" w:hAnsi="仿宋" w:eastAsia="仿宋" w:cs="仿宋"/>
          <w:lang w:val="en-US" w:eastAsia="zh-CN"/>
        </w:rPr>
        <w:t>，</w:t>
      </w:r>
      <w:r>
        <w:rPr>
          <w:rFonts w:hint="default" w:ascii="仿宋" w:hAnsi="仿宋" w:eastAsia="仿宋" w:cs="仿宋"/>
          <w:lang w:val="en-US" w:eastAsia="zh-CN"/>
        </w:rPr>
        <w:t>加强对政务公开专业人才的培养，切实提高政务公开水平。</w:t>
      </w:r>
    </w:p>
    <w:p w14:paraId="0941F61F">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 xml:space="preserve">今后，我局将按照年度政务公开工作要点要求，不断加强和改进政府信息公开工作，从以下几方面进行重点改进： </w:t>
      </w:r>
    </w:p>
    <w:p w14:paraId="3951C6C3">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（一）加强学习宣传，提高认识。加强全体工作人员对《中华人民共和国政府信息公开条例》的学习，进一步提高认识和工作自觉性，结合普法宣传工作，加大对政务信息公开相关法律法规的宣传普及。</w:t>
      </w:r>
    </w:p>
    <w:p w14:paraId="2F3642B0">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规范管理制度，压实责任。进一步梳理我局产生的各类政务信息，及时更新，定期维护，保证公开信息的时效性和准确性；落实政务信息公开责任制，按照“谁主管、谁公开、谁负责”的原则，压实相关股室及人员责任，</w:t>
      </w:r>
      <w:r>
        <w:rPr>
          <w:rFonts w:hint="eastAsia" w:ascii="仿宋" w:hAnsi="仿宋" w:eastAsia="仿宋" w:cs="仿宋"/>
        </w:rPr>
        <w:t>继续推进政务公开标准化、规范化。</w:t>
      </w:r>
    </w:p>
    <w:p w14:paraId="0C5E0D21">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丰富内容渠道，服务群众。以服务人民群众为工作的出发点和落脚点，不断丰富政务信息公开内容。重点推进与依法治县、社会发展和公众生活密切相关的内容，及时规范做好政务信息公开工作；对专业性强、公众关注度高的规范性文件、重大决策事项、法律法规等认真做好解读工作，方便公众理解；大力推动政务信息公开与电子政务工作相结合，进一步整合政务信息资源、拓宽公开渠道，丰富公开内容，满足公众对政务信息的知情权、参与权、表达权和监督权。</w:t>
      </w:r>
    </w:p>
    <w:p w14:paraId="49EB2577">
      <w:pPr>
        <w:numPr>
          <w:ilvl w:val="0"/>
          <w:numId w:val="0"/>
        </w:numPr>
        <w:bidi w:val="0"/>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   </w:t>
      </w:r>
    </w:p>
    <w:p w14:paraId="17FFBB8E">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2024年，我局暂无其他说明事项。</w:t>
      </w:r>
    </w:p>
    <w:p w14:paraId="5038C887">
      <w:pPr>
        <w:numPr>
          <w:ilvl w:val="0"/>
          <w:numId w:val="0"/>
        </w:numPr>
        <w:bidi w:val="0"/>
        <w:ind w:firstLine="640" w:firstLineChars="200"/>
        <w:jc w:val="left"/>
        <w:rPr>
          <w:rFonts w:hint="eastAsia" w:ascii="仿宋" w:hAnsi="仿宋" w:eastAsia="仿宋" w:cs="仿宋"/>
          <w:kern w:val="2"/>
          <w:sz w:val="32"/>
          <w:szCs w:val="32"/>
          <w:lang w:val="en-US" w:eastAsia="zh-CN" w:bidi="ar-SA"/>
        </w:rPr>
      </w:pPr>
    </w:p>
    <w:p w14:paraId="772E2DE4">
      <w:pPr>
        <w:numPr>
          <w:ilvl w:val="0"/>
          <w:numId w:val="0"/>
        </w:numPr>
        <w:bidi w:val="0"/>
        <w:ind w:firstLine="640" w:firstLineChars="200"/>
        <w:jc w:val="left"/>
        <w:rPr>
          <w:rFonts w:hint="eastAsia" w:ascii="仿宋" w:hAnsi="仿宋" w:eastAsia="仿宋" w:cs="仿宋"/>
          <w:kern w:val="2"/>
          <w:sz w:val="32"/>
          <w:szCs w:val="32"/>
          <w:lang w:val="en-US" w:eastAsia="zh-CN" w:bidi="ar-SA"/>
        </w:rPr>
      </w:pPr>
    </w:p>
    <w:p w14:paraId="409CC1A8">
      <w:pPr>
        <w:numPr>
          <w:ilvl w:val="0"/>
          <w:numId w:val="0"/>
        </w:numPr>
        <w:bidi w:val="0"/>
        <w:jc w:val="left"/>
        <w:rPr>
          <w:rFonts w:hint="eastAsia" w:ascii="仿宋" w:hAnsi="仿宋" w:eastAsia="仿宋" w:cs="仿宋"/>
          <w:kern w:val="2"/>
          <w:sz w:val="32"/>
          <w:szCs w:val="32"/>
          <w:lang w:val="en-US" w:eastAsia="zh-CN" w:bidi="ar-SA"/>
        </w:rPr>
      </w:pPr>
    </w:p>
    <w:p w14:paraId="58814700">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lang w:val="en-US" w:eastAsia="zh-CN"/>
        </w:rPr>
        <w:t xml:space="preserve">   神池县司法局</w:t>
      </w:r>
    </w:p>
    <w:p w14:paraId="53CB68D0">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 xml:space="preserve">                              2025年1月20日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674BD"/>
    <w:multiLevelType w:val="singleLevel"/>
    <w:tmpl w:val="BDE674BD"/>
    <w:lvl w:ilvl="0" w:tentative="0">
      <w:start w:val="1"/>
      <w:numFmt w:val="chineseCounting"/>
      <w:suff w:val="nothing"/>
      <w:lvlText w:val="%1、"/>
      <w:lvlJc w:val="left"/>
      <w:pPr>
        <w:ind w:left="800" w:leftChars="0" w:firstLine="0" w:firstLineChars="0"/>
      </w:pPr>
      <w:rPr>
        <w:rFonts w:hint="eastAsia"/>
      </w:rPr>
    </w:lvl>
  </w:abstractNum>
  <w:abstractNum w:abstractNumId="1">
    <w:nsid w:val="77D83F16"/>
    <w:multiLevelType w:val="singleLevel"/>
    <w:tmpl w:val="77D83F1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ZGNlYWQ1OTRiNTZmZWY5ZTMwZDhiNDEyMjE4MWYifQ=="/>
  </w:docVars>
  <w:rsids>
    <w:rsidRoot w:val="00000000"/>
    <w:rsid w:val="01084EDF"/>
    <w:rsid w:val="050D65F7"/>
    <w:rsid w:val="05EA2DDC"/>
    <w:rsid w:val="099D43C0"/>
    <w:rsid w:val="0C210BDA"/>
    <w:rsid w:val="0D6B42CE"/>
    <w:rsid w:val="0E67321C"/>
    <w:rsid w:val="0EF54D21"/>
    <w:rsid w:val="0F1113DA"/>
    <w:rsid w:val="0F1A1821"/>
    <w:rsid w:val="10991687"/>
    <w:rsid w:val="14F21366"/>
    <w:rsid w:val="150F0169"/>
    <w:rsid w:val="1A914492"/>
    <w:rsid w:val="24DC16EA"/>
    <w:rsid w:val="26697713"/>
    <w:rsid w:val="268E7F4D"/>
    <w:rsid w:val="29BE3BF5"/>
    <w:rsid w:val="29C94933"/>
    <w:rsid w:val="29CB0678"/>
    <w:rsid w:val="303B5E5F"/>
    <w:rsid w:val="33661445"/>
    <w:rsid w:val="343B467F"/>
    <w:rsid w:val="37B40444"/>
    <w:rsid w:val="394538AA"/>
    <w:rsid w:val="39D569DC"/>
    <w:rsid w:val="3DD103C2"/>
    <w:rsid w:val="40F60FC1"/>
    <w:rsid w:val="461A0599"/>
    <w:rsid w:val="469F45FA"/>
    <w:rsid w:val="47305B9A"/>
    <w:rsid w:val="487B1097"/>
    <w:rsid w:val="4E6525CD"/>
    <w:rsid w:val="51900019"/>
    <w:rsid w:val="51B60F66"/>
    <w:rsid w:val="52036385"/>
    <w:rsid w:val="52432C25"/>
    <w:rsid w:val="55CB540B"/>
    <w:rsid w:val="5785783C"/>
    <w:rsid w:val="5C11169E"/>
    <w:rsid w:val="5DD92690"/>
    <w:rsid w:val="5E055233"/>
    <w:rsid w:val="5F1A2F60"/>
    <w:rsid w:val="60786190"/>
    <w:rsid w:val="61442516"/>
    <w:rsid w:val="61946FF9"/>
    <w:rsid w:val="62C05E92"/>
    <w:rsid w:val="634E142A"/>
    <w:rsid w:val="647C1FC7"/>
    <w:rsid w:val="66070380"/>
    <w:rsid w:val="67D5211A"/>
    <w:rsid w:val="6B4750DC"/>
    <w:rsid w:val="6B6932A5"/>
    <w:rsid w:val="6B7D4C9D"/>
    <w:rsid w:val="6DF64B98"/>
    <w:rsid w:val="6FE949B4"/>
    <w:rsid w:val="70ED489A"/>
    <w:rsid w:val="74616426"/>
    <w:rsid w:val="76E45ED5"/>
    <w:rsid w:val="770202BA"/>
    <w:rsid w:val="77B91110"/>
    <w:rsid w:val="77CD6EEA"/>
    <w:rsid w:val="796933E0"/>
    <w:rsid w:val="7CA34DCF"/>
    <w:rsid w:val="7D52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auto"/>
      <w:jc w:val="both"/>
    </w:pPr>
    <w:rPr>
      <w:rFonts w:cs="仿宋" w:asciiTheme="minorHAnsi" w:hAnsiTheme="minorHAnsi" w:eastAsiaTheme="minorEastAsia"/>
      <w:kern w:val="2"/>
      <w:sz w:val="32"/>
      <w:szCs w:val="3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2189</Words>
  <Characters>2230</Characters>
  <Lines>0</Lines>
  <Paragraphs>0</Paragraphs>
  <TotalTime>60</TotalTime>
  <ScaleCrop>false</ScaleCrop>
  <LinksUpToDate>false</LinksUpToDate>
  <CharactersWithSpaces>2301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2023-02-01T01:57:00Z</dcterms:created>
  <dc:creator>1</dc:creator>
  <cp:lastModifiedBy>望山君</cp:lastModifiedBy>
  <dcterms:modified xsi:type="dcterms:W3CDTF">2025-01-21T03:07:44Z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8AF1F204AF1840A8A740975D2DDD0F45_13</vt:lpwstr>
  </property>
  <property fmtid="{D5CDD505-2E9C-101B-9397-08002B2CF9AE}" pid="4" name="KSOTemplateDocerSaveRecord">
    <vt:lpwstr>eyJoZGlkIjoiZGZhZGNlYWQ1OTRiNTZmZWY5ZTMwZDhiNDEyMjE4MWYiLCJ1c2VySWQiOiIxMDM5NzUxODI5In0=</vt:lpwstr>
  </property>
</Properties>
</file>