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ascii="方正小标宋简体" w:eastAsia="方正小标宋简体" w:cs="方正小标宋简体" w:hAnsi="宋体" w:hint="eastAsia"/>
          <w:b/>
          <w:bCs w:val="0"/>
          <w:i w:val="0"/>
          <w:iCs w:val="0"/>
          <w:caps w:val="0"/>
          <w:smallCaps w:val="0"/>
          <w:color w:val="000000"/>
          <w:spacing w:val="0"/>
          <w:sz w:val="44"/>
          <w:szCs w:val="44"/>
        </w:rPr>
      </w:pPr>
      <w:r>
        <w:rPr>
          <w:rStyle w:val="16"/>
          <w:rFonts w:ascii="方正小标宋简体" w:eastAsia="方正小标宋简体" w:cs="方正小标宋简体" w:hAnsi="宋体" w:hint="eastAsia"/>
          <w:b/>
          <w:bCs w:val="0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神池县</w:t>
      </w:r>
      <w:r>
        <w:rPr>
          <w:rStyle w:val="16"/>
          <w:rFonts w:ascii="方正小标宋简体" w:eastAsia="方正小标宋简体" w:cs="方正小标宋简体" w:hAnsi="宋体" w:hint="eastAsia"/>
          <w:b/>
          <w:bCs w:val="0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  <w:t>人力资源和社会保障局</w:t>
      </w:r>
    </w:p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ascii="方正小标宋简体" w:eastAsia="方正小标宋简体" w:cs="方正小标宋简体" w:hAnsi="微软雅黑" w:hint="eastAsia"/>
          <w:i w:val="0"/>
          <w:iCs w:val="0"/>
          <w:caps w:val="0"/>
          <w:smallCaps w:val="0"/>
          <w:color w:val="000000"/>
          <w:spacing w:val="0"/>
          <w:sz w:val="44"/>
          <w:szCs w:val="44"/>
        </w:rPr>
      </w:pPr>
      <w:r>
        <w:rPr>
          <w:rStyle w:val="16"/>
          <w:rFonts w:ascii="方正小标宋简体" w:eastAsia="方正小标宋简体" w:cs="方正小标宋简体" w:hAnsi="宋体" w:hint="eastAsia"/>
          <w:b/>
          <w:bCs w:val="0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Style w:val="16"/>
          <w:rFonts w:ascii="方正小标宋简体" w:eastAsia="方正小标宋简体" w:cs="方正小标宋简体" w:hAnsi="宋体" w:hint="eastAsia"/>
          <w:b/>
          <w:bCs w:val="0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Style w:val="16"/>
          <w:rFonts w:ascii="方正小标宋简体" w:eastAsia="方正小标宋简体" w:cs="方正小标宋简体" w:hAnsi="宋体" w:hint="eastAsia"/>
          <w:b/>
          <w:bCs w:val="0"/>
          <w:i w:val="0"/>
          <w:iCs w:val="0"/>
          <w:caps w:val="0"/>
          <w:smallCaps w:val="0"/>
          <w:color w:val="000000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Chars="200" w:firstLine="640"/>
        <w:jc w:val="left"/>
        <w:textAlignment w:val="auto"/>
        <w:rPr>
          <w:rStyle w:val="16"/>
          <w:rFonts w:ascii="黑体" w:eastAsia="黑体" w:cs="黑体" w:hAnsi="黑体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left"/>
        <w:textAlignment w:val="auto"/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神池县人力资源和社会保障局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严格执行《中华人民共和国政府信息公开条例》，坚持以人民为中心深化政务公开，以公开促落实、强监管、聚民心，更好助力稳就业保民生，推动人力资源社会保障事业高质量发展。现对我局2024年度政府信息公开工作开展情况报告如下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Autospacing="0" w:line="560" w:lineRule="exact"/>
        <w:ind w:left="0" w:firstLineChars="200" w:firstLine="640"/>
        <w:jc w:val="left"/>
        <w:rPr>
          <w:rFonts w:ascii="黑体" w:eastAsia="黑体" w:cs="黑体" w:hAnsi="黑体" w:hint="eastAsia"/>
          <w:b/>
          <w:bCs/>
          <w:color w:val="000000"/>
          <w:sz w:val="32"/>
          <w:szCs w:val="32"/>
        </w:rPr>
      </w:pPr>
      <w:r>
        <w:rPr>
          <w:rStyle w:val="16"/>
          <w:rFonts w:ascii="黑体" w:eastAsia="黑体" w:cs="黑体" w:hAnsi="黑体" w:hint="eastAsia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Chars="200" w:firstLine="640"/>
        <w:jc w:val="left"/>
        <w:textAlignment w:val="auto"/>
        <w:rPr>
          <w:rFonts w:ascii="楷体_GB2312" w:eastAsia="楷体_GB2312" w:cs="楷体_GB2312" w:hAnsi="黑体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Fonts w:ascii="楷体_GB2312" w:eastAsia="楷体_GB2312" w:cs="楷体_GB2312" w:hAnsi="黑体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(一)主动公开</w:t>
      </w:r>
      <w:r>
        <w:rPr>
          <w:rFonts w:ascii="楷体_GB2312" w:eastAsia="楷体_GB2312" w:cs="楷体_GB2312" w:hAnsi="黑体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情况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left"/>
        <w:textAlignment w:val="auto"/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年，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神池县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人社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局认真贯彻落实《中华人民共和国政府信息公开条例》，根据国务院、省、市及县委、县政府的工作要求，根据我局工作职能做好政府信息公开工作，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全方位、多角度、高频次为群众提供所需信息。围绕农民工</w:t>
      </w:r>
      <w:r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合法权益保障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、就业创业</w:t>
      </w:r>
      <w:r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服务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、人事考试</w:t>
      </w:r>
      <w:r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职业技能鉴定、社会保险、劳动关系等重点领域，加强主动公开力度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围绕全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经济社会发展主要目标和重点工作任务，详细解读政策背景、制定依据、主要内容等。</w:t>
      </w:r>
      <w:r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围绕人社业务重点工作，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全年通过神池县人民政府门户网站公开发布事业单位招聘信息2</w:t>
      </w:r>
      <w:r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条</w:t>
      </w:r>
      <w:r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，工伤认定2条，其他信息公开3条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，通过神池县劳动就业服务中心微信公众号公开就业稳岗信息</w:t>
      </w:r>
      <w:r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条。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Chars="200" w:firstLine="640"/>
        <w:jc w:val="left"/>
        <w:textAlignment w:val="auto"/>
        <w:rPr>
          <w:rFonts w:ascii="仿宋_GB2312" w:eastAsia="仿宋_GB2312" w:cs="仿宋_GB2312" w:hAnsi="楷体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楷体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依申请公开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left"/>
        <w:textAlignment w:val="auto"/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FF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cs="仿宋_GB2312" w:hAnsi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年，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神池县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人力资源和社会保障局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规范依申请公开工作流程，强化法律意识和协调意识，规范办理流程和答复文书，进一步加强对依申请公开工作的认识，不断提高依申请公开办理质量，切实保障公众知情权。</w:t>
      </w:r>
      <w:r>
        <w:rPr>
          <w:rFonts w:ascii="仿宋_GB2312" w:eastAsia="仿宋_GB2312" w:cs="仿宋_GB2312" w:hAnsi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2024年，我局未收到及办理依申请公开件。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Chars="200" w:firstLine="640"/>
        <w:jc w:val="left"/>
        <w:textAlignment w:val="auto"/>
        <w:rPr>
          <w:rFonts w:ascii="仿宋_GB2312" w:eastAsia="仿宋_GB2312" w:cs="仿宋_GB2312" w:hAnsi="楷体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Fonts w:ascii="仿宋_GB2312" w:eastAsia="仿宋_GB2312" w:cs="仿宋_GB2312" w:hAnsi="楷体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(三)政府信息管理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left"/>
        <w:textAlignment w:val="auto"/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严格按照政府信息公开属性源头认定要求，做好政策文件公开管理，解读好政策文件，对涉及群众切身利益、需社会广泛知晓的业务形成办事指南，公开办事程序，方便群众线上和线下办理业务。严格遵循“谁公开、谁审查、谁负责”的原则，进一步强化信息公开工作的组织领导，落实信息公开要求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Chars="200" w:firstLine="640"/>
        <w:jc w:val="left"/>
        <w:textAlignment w:val="auto"/>
        <w:rPr>
          <w:rFonts w:ascii="仿宋_GB2312" w:eastAsia="仿宋_GB2312" w:cs="仿宋_GB2312" w:hAnsi="楷体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Fonts w:ascii="仿宋_GB2312" w:eastAsia="仿宋_GB2312" w:cs="仿宋_GB2312" w:hAnsi="楷体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cs="仿宋_GB2312" w:hAnsi="楷体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ascii="仿宋_GB2312" w:eastAsia="仿宋_GB2312" w:cs="仿宋_GB2312" w:hAnsi="楷体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)监督保障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left"/>
        <w:textAlignment w:val="auto"/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认真落实政府信息公开审核制度，明确各环节工作职责和责任人员，强化责任意识，坚持与业务工作同部署、同检查、同考核。明确局办公室负责工作动态等信息的起草和审核工作，并加强相关人员的业务知识培训，切实提升信息公开工作能力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left"/>
        <w:textAlignment w:val="auto"/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Chars="200" w:firstLine="640"/>
        <w:jc w:val="left"/>
        <w:textAlignment w:val="auto"/>
        <w:rPr>
          <w:rStyle w:val="16"/>
          <w:rFonts w:ascii="黑体" w:eastAsia="黑体" w:cs="黑体" w:hAnsi="黑体" w:hint="eastAsia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6"/>
          <w:rFonts w:ascii="黑体" w:eastAsia="黑体" w:cs="黑体" w:hAnsi="黑体" w:hint="eastAsia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主动公开政府信息情况</w:t>
      </w:r>
    </w:p>
    <w:tbl>
      <w:tblPr>
        <w:tblpPr w:leftFromText="180" w:rightFromText="180" w:vertAnchor="text" w:horzAnchor="page" w:tblpX="1861" w:tblpY="47"/>
        <w:tblOverlap w:val="never"/>
        <w:tblW w:w="8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471"/>
        <w:gridCol w:w="2074"/>
        <w:gridCol w:w="1705"/>
        <w:gridCol w:w="2310"/>
      </w:tblGrid>
      <w:tr>
        <w:trPr>
          <w:trHeight w:val="649"/>
        </w:trPr>
        <w:tc>
          <w:tcPr>
            <w:tcW w:w="8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第二十条第（一）项</w:t>
            </w:r>
          </w:p>
        </w:tc>
      </w:tr>
      <w:tr>
        <w:trPr>
          <w:trHeight w:val="776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信息内容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本年新</w:t>
              <w:br/>
              <w:t>制作数量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本年新</w:t>
              <w:br/>
              <w:t>公开数量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对外公开总数量</w:t>
            </w:r>
          </w:p>
        </w:tc>
      </w:tr>
      <w:tr>
        <w:trPr>
          <w:trHeight w:val="649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规章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49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规范性文件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472"/>
        </w:trPr>
        <w:tc>
          <w:tcPr>
            <w:tcW w:w="8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第二十条第（五）项</w:t>
            </w:r>
          </w:p>
        </w:tc>
      </w:tr>
      <w:tr>
        <w:trPr>
          <w:trHeight w:val="649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信息内容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上一年项目数量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本年增／减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处理决定数量</w:t>
            </w:r>
          </w:p>
        </w:tc>
      </w:tr>
      <w:tr>
        <w:trPr>
          <w:trHeight w:val="649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行政许可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720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其他对外管理服务事项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49"/>
        </w:trPr>
        <w:tc>
          <w:tcPr>
            <w:tcW w:w="8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第二十条第（六）项</w:t>
            </w:r>
          </w:p>
        </w:tc>
      </w:tr>
      <w:tr>
        <w:trPr>
          <w:trHeight w:val="649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信息内容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上一年项目数量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本年增／减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处理决定数量</w:t>
            </w:r>
          </w:p>
        </w:tc>
      </w:tr>
      <w:tr>
        <w:trPr>
          <w:trHeight w:val="649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行政处罚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49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行政强制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49"/>
        </w:trPr>
        <w:tc>
          <w:tcPr>
            <w:tcW w:w="8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第二十条第（八）项</w:t>
            </w:r>
          </w:p>
        </w:tc>
      </w:tr>
      <w:tr>
        <w:trPr>
          <w:trHeight w:val="649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信息内容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上一年项目数量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本年增／减</w:t>
            </w:r>
          </w:p>
        </w:tc>
      </w:tr>
      <w:tr>
        <w:trPr>
          <w:trHeight w:val="649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行政事业性收费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49"/>
        </w:trPr>
        <w:tc>
          <w:tcPr>
            <w:tcW w:w="8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第二十条第（九）项</w:t>
            </w:r>
          </w:p>
        </w:tc>
      </w:tr>
      <w:tr>
        <w:trPr>
          <w:trHeight w:val="649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信息内容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采购项目数量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采购总金额</w:t>
            </w:r>
          </w:p>
        </w:tc>
      </w:tr>
      <w:tr>
        <w:trPr>
          <w:trHeight w:val="670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政府集中收购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Chars="200" w:firstLine="640"/>
        <w:jc w:val="left"/>
        <w:textAlignment w:val="auto"/>
        <w:rPr>
          <w:rStyle w:val="16"/>
          <w:rFonts w:ascii="黑体" w:eastAsia="黑体" w:cs="黑体" w:hAnsi="黑体" w:hint="eastAsia"/>
          <w:b w:val="0"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Style w:val="16"/>
          <w:rFonts w:ascii="黑体" w:eastAsia="黑体" w:cs="黑体" w:hAnsi="黑体" w:hint="eastAsia"/>
          <w:b w:val="0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pPr w:leftFromText="180" w:rightFromText="180" w:vertAnchor="text" w:horzAnchor="page" w:tblpX="1350" w:tblpY="551"/>
        <w:tblOverlap w:val="nev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45"/>
        <w:gridCol w:w="945"/>
        <w:gridCol w:w="1682"/>
        <w:gridCol w:w="838"/>
        <w:gridCol w:w="565"/>
        <w:gridCol w:w="565"/>
        <w:gridCol w:w="975"/>
        <w:gridCol w:w="1050"/>
        <w:gridCol w:w="565"/>
        <w:gridCol w:w="1065"/>
      </w:tblGrid>
      <w:tr>
        <w:trPr>
          <w:trHeight w:val="420"/>
        </w:trPr>
        <w:tc>
          <w:tcPr>
            <w:tcW w:w="3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申请人情况</w:t>
            </w:r>
          </w:p>
        </w:tc>
      </w:tr>
      <w:tr>
        <w:trPr>
          <w:trHeight w:val="380"/>
        </w:trPr>
        <w:tc>
          <w:tcPr>
            <w:tcW w:w="3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自然人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法人或其他组织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总计</w:t>
            </w:r>
          </w:p>
        </w:tc>
      </w:tr>
      <w:tr>
        <w:trPr>
          <w:trHeight w:val="900"/>
        </w:trPr>
        <w:tc>
          <w:tcPr>
            <w:tcW w:w="3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商业</w:t>
              <w:br/>
              <w:t>企业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科研</w:t>
              <w:br/>
              <w:t>机构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社会公</w:t>
              <w:br/>
              <w:t>益组织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法律服</w:t>
              <w:br/>
              <w:t>务机构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340"/>
        </w:trPr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一、本年度新收政府信息公开申请数量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360"/>
        </w:trPr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二、上年结转政府信息公开申请数量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1200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三、本</w:t>
              <w:br/>
              <w:t>年度</w:t>
              <w:br/>
              <w:t>办理</w:t>
              <w:br/>
              <w:t>结果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（一）予以公开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9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（三）</w:t>
              <w:br/>
              <w:t>不予公开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1.属于国家秘密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2.其他法律行政</w:t>
              <w:br/>
              <w:t>法规禁止公开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3.危及“三安全</w:t>
              <w:br/>
              <w:t>一稳定”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4.保护第三方合</w:t>
              <w:br/>
              <w:t>法权益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5.属于三类内部</w:t>
              <w:br/>
              <w:t>事务信息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6.属于四类过程</w:t>
              <w:br/>
              <w:t>性信息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7.属于行政执法</w:t>
              <w:br/>
              <w:t>案卷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both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8.属于行政查询</w:t>
              <w:br/>
              <w:t>事项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（四）</w:t>
              <w:br/>
              <w:t>无法提供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1.本机关不掌握</w:t>
              <w:br/>
              <w:t>相关政府信息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2.没有现成信息</w:t>
              <w:br/>
              <w:t>需要另行制作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3.补正后申请内</w:t>
              <w:br/>
              <w:t>容仍不明确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both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（五）</w:t>
              <w:br/>
              <w:t>不予处理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1.住房举报投诉</w:t>
              <w:br/>
              <w:t>类申请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285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2.重复申请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3.要求提供公开</w:t>
              <w:br/>
              <w:t>出版物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6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4.无正当理由大</w:t>
              <w:br/>
              <w:t>量反复申请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90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left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5.要求行政机关</w:t>
              <w:br/>
              <w:t>确认或重新出具</w:t>
              <w:br/>
              <w:t>已获取信息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32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（六）其他处理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360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（七）总计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rPr>
          <w:trHeight w:val="300"/>
        </w:trPr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四、结转下年度继续办理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Autospacing="0" w:afterAutospacing="0"/>
              <w:ind w:left="0" w:right="0"/>
              <w:jc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>
      <w:pPr>
        <w:pStyle w:val="15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20" w:lineRule="atLeast"/>
        <w:ind w:left="0" w:right="0"/>
        <w:jc w:val="left"/>
        <w:rPr>
          <w:rStyle w:val="16"/>
          <w:rFonts w:ascii="仿宋" w:eastAsia="仿宋" w:cs="仿宋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20" w:lineRule="atLeast"/>
        <w:ind w:left="0" w:right="0" w:firstLineChars="200" w:firstLine="640"/>
        <w:jc w:val="left"/>
        <w:rPr>
          <w:rStyle w:val="16"/>
          <w:rFonts w:ascii="黑体" w:eastAsia="黑体" w:cs="黑体" w:hAnsi="黑体" w:hint="eastAsia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16"/>
          <w:rFonts w:ascii="黑体" w:eastAsia="黑体" w:cs="黑体" w:hAnsi="黑体" w:hint="eastAsia"/>
          <w:b w:val="0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Style w:val="16"/>
          <w:rFonts w:ascii="黑体" w:eastAsia="黑体" w:cs="黑体" w:hAnsi="黑体" w:hint="eastAsia"/>
          <w:b w:val="0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tbl>
      <w:tblPr>
        <w:jc w:val="left"/>
        <w:tblInd w:w="-252" w:type="dxa"/>
        <w:tblW w:w="9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700"/>
        <w:gridCol w:w="700"/>
        <w:gridCol w:w="700"/>
        <w:gridCol w:w="700"/>
        <w:gridCol w:w="706"/>
        <w:gridCol w:w="700"/>
        <w:gridCol w:w="700"/>
        <w:gridCol w:w="700"/>
        <w:gridCol w:w="700"/>
        <w:gridCol w:w="700"/>
        <w:gridCol w:w="700"/>
        <w:gridCol w:w="700"/>
        <w:gridCol w:w="700"/>
        <w:gridCol w:w="713"/>
      </w:tblGrid>
      <w:tr>
        <w:trPr>
          <w:trHeight w:val="719"/>
        </w:trPr>
        <w:tc>
          <w:tcPr>
            <w:tcW w:w="3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行政复议</w:t>
            </w:r>
          </w:p>
        </w:tc>
        <w:tc>
          <w:tcPr>
            <w:tcW w:w="6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行政诉讼</w:t>
            </w:r>
          </w:p>
        </w:tc>
      </w:tr>
      <w:tr>
        <w:trPr>
          <w:trHeight w:val="618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结果纠</w:t>
              <w:br/>
              <w:t>正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其他</w:t>
              <w:br/>
              <w:t>结</w:t>
              <w:br/>
              <w:t>果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尚未审结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总计</w:t>
            </w:r>
          </w:p>
        </w:tc>
        <w:tc>
          <w:tcPr>
            <w:tcW w:w="3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未经复议直接起诉</w:t>
            </w:r>
          </w:p>
        </w:tc>
        <w:tc>
          <w:tcPr>
            <w:tcW w:w="3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复议后起诉</w:t>
            </w:r>
          </w:p>
        </w:tc>
      </w:tr>
      <w:tr>
        <w:trPr>
          <w:trHeight w:val="244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结果维持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结果纠正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其他结果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尚未审结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总计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结果维持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结果纠正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其他结果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尚未审结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总计</w:t>
            </w:r>
          </w:p>
        </w:tc>
      </w:tr>
      <w:tr>
        <w:trPr>
          <w:trHeight w:val="646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textAlignment w:val="center"/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Chars="200" w:firstLine="640"/>
        <w:jc w:val="left"/>
        <w:textAlignment w:val="auto"/>
        <w:rPr>
          <w:rStyle w:val="16"/>
          <w:rFonts w:ascii="仿宋" w:eastAsia="仿宋" w:cs="仿宋" w:hAnsi="仿宋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Chars="200" w:firstLine="640"/>
        <w:jc w:val="left"/>
        <w:textAlignment w:val="auto"/>
        <w:rPr>
          <w:rStyle w:val="16"/>
          <w:rFonts w:ascii="仿宋" w:eastAsia="仿宋" w:cs="仿宋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Chars="200" w:firstLine="640"/>
        <w:jc w:val="left"/>
        <w:textAlignment w:val="auto"/>
        <w:rPr>
          <w:rFonts w:ascii="黑体" w:eastAsia="黑体" w:cs="黑体" w:hAnsi="黑体" w:hint="eastAsia"/>
          <w:b w:val="0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  <w:r>
        <w:rPr>
          <w:rStyle w:val="16"/>
          <w:rFonts w:ascii="黑体" w:eastAsia="黑体" w:cs="黑体" w:hAnsi="黑体" w:hint="eastAsia"/>
          <w:b w:val="0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left"/>
        <w:textAlignment w:val="auto"/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年，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神池县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人力资源和社会保障局大力推动政府信息公开，积极配合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政府办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工作，虽然取得一定成绩，但是主动公开的信息内容还不够全面；同时宣传不够深入，公众参与度不够高。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left"/>
        <w:textAlignment w:val="auto"/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在今后工作中要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进一步发挥信息发布、政策解读及互动交流实效。围绕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我县群众</w:t>
      </w:r>
      <w:r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关心的重点、热点问题，广泛听取、收集人民群众的意见建议，了解群众需求，加大对人社领域信息的发布和政策解读力度，让人民群众更加清晰地了解办理程序和相关政策，确保了信息公开取得良好效果。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Style w:val="16"/>
          <w:rFonts w:ascii="黑体" w:eastAsia="黑体" w:cs="黑体" w:hAnsi="黑体" w:hint="eastAsia"/>
          <w:b w:val="0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6"/>
          <w:rFonts w:ascii="黑体" w:eastAsia="黑体" w:cs="黑体" w:hAnsi="黑体" w:hint="eastAsia"/>
          <w:b w:val="0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六、其他需要报告的事项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Style w:val="16"/>
          <w:rFonts w:ascii="仿宋_GB2312" w:eastAsia="仿宋_GB2312" w:cs="仿宋_GB2312" w:hAnsi="黑体"/>
          <w:b w:val="0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6"/>
          <w:rFonts w:ascii="仿宋_GB2312" w:eastAsia="仿宋_GB2312" w:cs="仿宋_GB2312" w:hAnsi="黑体" w:hint="eastAsia"/>
          <w:b w:val="0"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2024年，我局暂无其他说明事项。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ascii="仿宋_GB2312" w:eastAsia="仿宋_GB2312" w:cs="仿宋_GB2312" w:hAnsi="仿宋"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textAlignment w:val="auto"/>
        <w:rPr>
          <w:rFonts w:ascii="仿宋_GB2312" w:eastAsia="仿宋_GB2312" w:cs="仿宋_GB2312" w:hAnsi="仿宋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                  神池县人力资源和社会保障局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right="0"/>
        <w:jc w:val="center"/>
        <w:rPr>
          <w:rFonts w:ascii="仿宋" w:eastAsia="仿宋" w:cs="仿宋" w:hAnsi="仿宋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                    202</w:t>
      </w:r>
      <w:r>
        <w:rPr>
          <w:rFonts w:ascii="仿宋" w:eastAsia="仿宋" w:cs="仿宋" w:hAnsi="仿宋"/>
          <w:sz w:val="32"/>
          <w:szCs w:val="32"/>
          <w:lang w:val="en-US" w:eastAsia="zh-CN"/>
        </w:rPr>
        <w:t>5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年1月</w:t>
      </w:r>
      <w:r>
        <w:rPr>
          <w:rFonts w:ascii="仿宋" w:eastAsia="仿宋" w:cs="仿宋" w:hAnsi="仿宋"/>
          <w:sz w:val="32"/>
          <w:szCs w:val="32"/>
          <w:lang w:val="en-US" w:eastAsia="zh-CN"/>
        </w:rPr>
        <w:t>23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Arial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A458FD2"/>
    <w:multiLevelType w:val="singleLevel"/>
    <w:tmpl w:val="0A458FD2"/>
    <w:lvl w:ilvl="0">
      <w:start w:val="2"/>
      <w:numFmt w:val="chineseCounting"/>
      <w:lvlRestart w:val="0"/>
      <w:suff w:val="nothing"/>
      <w:lvlText w:val="（%1）"/>
      <w:lvlJc w:val="left"/>
      <w:pPr/>
      <w:rPr>
        <w:rFonts w:hint="eastAsia"/>
      </w:rPr>
    </w:lvl>
  </w:abstractNum>
  <w:abstractNum w:abstractNumId="1">
    <w:nsid w:val="F336CC94"/>
    <w:multiLevelType w:val="singleLevel"/>
    <w:tmpl w:val="F336CC94"/>
    <w:lvl w:ilvl="0">
      <w:start w:val="2"/>
      <w:numFmt w:val="chineseCounting"/>
      <w:lvlRestart w:val="0"/>
      <w:suff w:val="nothing"/>
      <w:lvlText w:val="%1、"/>
      <w:lvlJc w:val="left"/>
      <w:pPr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TdkYWY1NWE2MTZlYTJlMGZhMjk2MzljNDQwZjk5YmY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6">
    <w:name w:val="Strong"/>
    <w:qFormat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8886361-6F85-4E3B-8CDF-1E596FF7C6A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149</TotalTime>
  <Application>Yozo_Office27021597764231189</Application>
  <Pages>6</Pages>
  <Words>0</Words>
  <Characters>1821</Characters>
  <Lines>0</Lines>
  <Paragraphs>38</Paragraphs>
  <CharactersWithSpaces>2429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宣宣G~</dc:creator>
  <cp:lastModifiedBy>greatwall</cp:lastModifiedBy>
  <cp:revision>1</cp:revision>
  <cp:lastPrinted>2025-01-23T07:55:22Z</cp:lastPrinted>
  <dcterms:created xsi:type="dcterms:W3CDTF">2024-01-09T07:41:00Z</dcterms:created>
  <dcterms:modified xsi:type="dcterms:W3CDTF">2025-01-26T02:24:46Z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2052-12.1.0.16120</vt:lpwstr>
  </property>
  <property fmtid="{D5CDD505-2E9C-101B-9397-08002B2CF9AE}" pid="3" name="ICV">
    <vt:lpwstr>E1CD49E6362A456CB1184B86384F5D6C_11</vt:lpwstr>
  </property>
</Properties>
</file>