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0" w:line="440" w:lineRule="exact"/>
        <w:jc w:val="center"/>
        <w:rPr>
          <w:rFonts w:hint="eastAsia" w:ascii="黑体" w:hAnsi="黑体" w:eastAsia="黑体"/>
          <w:color w:val="auto"/>
          <w:sz w:val="44"/>
          <w:szCs w:val="44"/>
          <w:lang w:val="en-US" w:eastAsia="zh-CN"/>
        </w:rPr>
      </w:pPr>
    </w:p>
    <w:p>
      <w:pPr>
        <w:spacing w:after="260" w:line="440" w:lineRule="exact"/>
        <w:jc w:val="center"/>
        <w:rPr>
          <w:rFonts w:hint="eastAsia" w:ascii="黑体" w:hAnsi="黑体" w:eastAsia="黑体"/>
          <w:color w:val="auto"/>
          <w:sz w:val="44"/>
          <w:szCs w:val="44"/>
          <w:lang w:val="en-US" w:eastAsia="zh-CN"/>
        </w:rPr>
      </w:pPr>
    </w:p>
    <w:p>
      <w:pPr>
        <w:spacing w:after="260" w:line="440" w:lineRule="exact"/>
        <w:jc w:val="center"/>
        <w:rPr>
          <w:rFonts w:hint="eastAsia" w:ascii="黑体" w:hAnsi="黑体" w:eastAsia="黑体"/>
          <w:color w:val="auto"/>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880" w:firstLineChars="20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《神池县人民政府办公室关于印发神池县</w:t>
      </w:r>
      <w:r>
        <w:rPr>
          <w:rFonts w:hint="eastAsia" w:ascii="方正小标宋简体" w:hAnsi="方正小标宋简体" w:eastAsia="方正小标宋简体" w:cs="方正小标宋简体"/>
          <w:color w:val="auto"/>
          <w:sz w:val="44"/>
          <w:szCs w:val="44"/>
        </w:rPr>
        <w:t>推进国三及以下排放标准营运中型和重型柴油货车淘汰工作方案</w:t>
      </w:r>
      <w:r>
        <w:rPr>
          <w:rFonts w:hint="eastAsia" w:ascii="方正小标宋简体" w:hAnsi="方正小标宋简体" w:eastAsia="方正小标宋简体" w:cs="方正小标宋简体"/>
          <w:color w:val="auto"/>
          <w:sz w:val="44"/>
          <w:szCs w:val="44"/>
          <w:lang w:eastAsia="zh-CN"/>
        </w:rPr>
        <w:t>的通知</w:t>
      </w:r>
      <w:r>
        <w:rPr>
          <w:rFonts w:hint="eastAsia" w:ascii="方正小标宋简体" w:hAnsi="方正小标宋简体" w:eastAsia="方正小标宋简体" w:cs="方正小标宋简体"/>
          <w:color w:val="auto"/>
          <w:sz w:val="44"/>
          <w:szCs w:val="44"/>
          <w:lang w:val="en-US" w:eastAsia="zh-CN"/>
        </w:rPr>
        <w:t>》的解读材料</w:t>
      </w:r>
    </w:p>
    <w:p>
      <w:pPr>
        <w:spacing w:after="260" w:line="440" w:lineRule="exact"/>
        <w:jc w:val="left"/>
        <w:rPr>
          <w:rFonts w:hint="eastAsia" w:ascii="宋体" w:hAnsi="宋体" w:eastAsia="宋体" w:cs="宋体"/>
          <w:i w:val="0"/>
          <w:caps w:val="0"/>
          <w:color w:val="333333"/>
          <w:spacing w:val="0"/>
          <w:sz w:val="24"/>
          <w:szCs w:val="24"/>
          <w:shd w:val="clear" w:fill="FFFFFF"/>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黑体" w:hAnsi="黑体" w:eastAsia="黑体" w:cs="黑体"/>
          <w:b w:val="0"/>
          <w:bCs w:val="0"/>
          <w:i w:val="0"/>
          <w:caps w:val="0"/>
          <w:color w:val="auto"/>
          <w:spacing w:val="0"/>
          <w:sz w:val="32"/>
          <w:szCs w:val="32"/>
          <w:shd w:val="clear" w:fill="FFFFFF"/>
        </w:rPr>
        <w:t>背景依据：</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有效推进我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国三及以下排放标准营运中型和重型柴油货车淘汰工作，持续改善我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环境空气质量，根据《山西省人民政府办公厅关于印发山西省打赢蓝天保卫战2020年决战计划的通知》(晋政办发[2020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17号)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《山西省交通运输厅山西省生态环境厅山西省财政厅山西省商务厅山西省公安厅关于加快推进国三及以下排放标准营运柴油货车淘汰工作的通知》(晋交运管[</w:t>
      </w:r>
      <w:r>
        <w:rPr>
          <w:rFonts w:hint="eastAsia" w:ascii="仿宋" w:hAnsi="仿宋" w:eastAsia="仿宋" w:cs="仿宋"/>
          <w:color w:val="auto"/>
          <w:sz w:val="32"/>
          <w:szCs w:val="32"/>
          <w:lang w:eastAsia="zh-CN"/>
        </w:rPr>
        <w:t>2020]</w:t>
      </w:r>
      <w:r>
        <w:rPr>
          <w:rFonts w:hint="eastAsia" w:ascii="仿宋" w:hAnsi="仿宋" w:eastAsia="仿宋" w:cs="仿宋"/>
          <w:color w:val="auto"/>
          <w:sz w:val="32"/>
          <w:szCs w:val="32"/>
        </w:rPr>
        <w:t>178号)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《忻州市人民政府办公室关于</w:t>
      </w:r>
      <w:r>
        <w:rPr>
          <w:rFonts w:hint="eastAsia" w:ascii="仿宋" w:hAnsi="仿宋" w:eastAsia="仿宋" w:cs="仿宋"/>
          <w:color w:val="auto"/>
          <w:sz w:val="32"/>
          <w:szCs w:val="32"/>
        </w:rPr>
        <w:t>推进国三及以下排放标准营运</w:t>
      </w:r>
      <w:r>
        <w:rPr>
          <w:rFonts w:hint="eastAsia" w:ascii="仿宋" w:hAnsi="仿宋" w:eastAsia="仿宋" w:cs="仿宋"/>
          <w:color w:val="auto"/>
          <w:sz w:val="32"/>
          <w:szCs w:val="32"/>
          <w:lang w:val="en-US" w:eastAsia="zh-CN"/>
        </w:rPr>
        <w:t>中型和大型</w:t>
      </w:r>
      <w:r>
        <w:rPr>
          <w:rFonts w:hint="eastAsia" w:ascii="仿宋" w:hAnsi="仿宋" w:eastAsia="仿宋" w:cs="仿宋"/>
          <w:color w:val="auto"/>
          <w:sz w:val="32"/>
          <w:szCs w:val="32"/>
        </w:rPr>
        <w:t>柴油货车淘汰工作</w:t>
      </w:r>
      <w:r>
        <w:rPr>
          <w:rFonts w:hint="eastAsia" w:ascii="仿宋" w:hAnsi="仿宋" w:eastAsia="仿宋" w:cs="仿宋"/>
          <w:color w:val="auto"/>
          <w:sz w:val="32"/>
          <w:szCs w:val="32"/>
          <w:lang w:val="en-US" w:eastAsia="zh-CN"/>
        </w:rPr>
        <w:t>方案的通知》（忻政办发电</w:t>
      </w:r>
      <w:r>
        <w:rPr>
          <w:rFonts w:hint="eastAsia" w:ascii="仿宋" w:hAnsi="仿宋" w:eastAsia="仿宋" w:cs="仿宋"/>
          <w:color w:val="auto"/>
          <w:sz w:val="32"/>
          <w:szCs w:val="32"/>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297</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等文件要求，结合我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实际情况，制定本方案</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总体要求</w:t>
      </w:r>
      <w:r>
        <w:rPr>
          <w:rFonts w:hint="eastAsia" w:ascii="黑体" w:hAnsi="黑体" w:eastAsia="黑体" w:cs="黑体"/>
          <w:b w:val="0"/>
          <w:bCs w:val="0"/>
          <w:color w:val="auto"/>
          <w:sz w:val="32"/>
          <w:szCs w:val="32"/>
          <w:lang w:eastAsia="zh-CN"/>
        </w:rPr>
        <w:t>：</w:t>
      </w:r>
      <w:r>
        <w:rPr>
          <w:rFonts w:hint="eastAsia" w:ascii="仿宋_GB2312" w:hAnsi="仿宋_GB2312" w:eastAsia="仿宋_GB2312" w:cs="仿宋_GB2312"/>
          <w:color w:val="auto"/>
          <w:sz w:val="32"/>
          <w:szCs w:val="32"/>
        </w:rPr>
        <w:t>以习近平新时代中国特色社会主义思想为指导，认真贯彻落实党中央、国务院和省</w:t>
      </w:r>
      <w:r>
        <w:rPr>
          <w:rFonts w:hint="eastAsia" w:ascii="仿宋_GB2312" w:hAnsi="仿宋_GB2312" w:eastAsia="仿宋_GB2312" w:cs="仿宋_GB2312"/>
          <w:color w:val="auto"/>
          <w:sz w:val="32"/>
          <w:szCs w:val="32"/>
          <w:lang w:val="en-US" w:eastAsia="zh-CN"/>
        </w:rPr>
        <w:t>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省政府、</w:t>
      </w:r>
      <w:r>
        <w:rPr>
          <w:rFonts w:hint="eastAsia" w:ascii="仿宋_GB2312" w:hAnsi="仿宋_GB2312" w:eastAsia="仿宋_GB2312" w:cs="仿宋_GB2312"/>
          <w:color w:val="auto"/>
          <w:sz w:val="32"/>
          <w:szCs w:val="32"/>
        </w:rPr>
        <w:t>市委、市政府关于大气污染治理的决策部署，按照打赢蓝天保卫战行动要求，采取经济补偿、限制使用、严格超标排放监管等方式，如期完成全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国三及以下排放标准柴油货车淘汰目标任务，大幅减少机动车大气污染物排放量，推进我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环境空气质量持续改善</w:t>
      </w:r>
      <w:r>
        <w:rPr>
          <w:rFonts w:hint="eastAsia" w:ascii="仿宋_GB2312" w:hAnsi="仿宋_GB2312" w:eastAsia="仿宋_GB2312" w:cs="仿宋_GB2312"/>
          <w:color w:val="auto"/>
          <w:sz w:val="32"/>
          <w:szCs w:val="32"/>
          <w:lang w:eastAsia="zh-CN"/>
        </w:rPr>
        <w:t>。</w:t>
      </w:r>
    </w:p>
    <w:p>
      <w:pPr>
        <w:keepNext w:val="0"/>
        <w:keepLines w:val="0"/>
        <w:pageBreakBefore w:val="0"/>
        <w:widowControl/>
        <w:numPr>
          <w:numId w:val="0"/>
        </w:numPr>
        <w:kinsoku/>
        <w:wordWrap/>
        <w:overflowPunct/>
        <w:topLinePunct w:val="0"/>
        <w:autoSpaceDE/>
        <w:autoSpaceDN/>
        <w:bidi w:val="0"/>
        <w:adjustRightInd w:val="0"/>
        <w:snapToGrid w:val="0"/>
        <w:spacing w:after="0" w:line="60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工作重点：</w:t>
      </w:r>
      <w:r>
        <w:rPr>
          <w:rFonts w:hint="eastAsia" w:ascii="仿宋_GB2312" w:hAnsi="仿宋_GB2312" w:eastAsia="仿宋_GB2312" w:cs="仿宋_GB2312"/>
          <w:b w:val="0"/>
          <w:bCs w:val="0"/>
          <w:color w:val="auto"/>
          <w:sz w:val="32"/>
          <w:szCs w:val="32"/>
          <w:lang w:val="en-US" w:eastAsia="zh-CN"/>
        </w:rPr>
        <w:t>按照</w:t>
      </w:r>
      <w:r>
        <w:rPr>
          <w:rFonts w:hint="eastAsia" w:ascii="仿宋_GB2312" w:hAnsi="仿宋_GB2312" w:eastAsia="仿宋_GB2312" w:cs="仿宋_GB2312"/>
          <w:color w:val="auto"/>
          <w:sz w:val="32"/>
          <w:szCs w:val="32"/>
        </w:rPr>
        <w:t>国家锁定的目标任务，</w:t>
      </w:r>
      <w:r>
        <w:rPr>
          <w:rFonts w:hint="eastAsia" w:ascii="仿宋_GB2312" w:hAnsi="仿宋_GB2312" w:eastAsia="仿宋_GB2312" w:cs="仿宋_GB2312"/>
          <w:color w:val="auto"/>
          <w:sz w:val="32"/>
          <w:szCs w:val="32"/>
          <w:lang w:val="en-US" w:eastAsia="zh-CN"/>
        </w:rPr>
        <w:t>县交警队进一步核实确认了需要淘汰的162辆</w:t>
      </w:r>
      <w:r>
        <w:rPr>
          <w:rFonts w:hint="eastAsia" w:ascii="仿宋_GB2312" w:hAnsi="仿宋_GB2312" w:eastAsia="仿宋_GB2312" w:cs="仿宋_GB2312"/>
          <w:color w:val="auto"/>
          <w:sz w:val="32"/>
          <w:szCs w:val="32"/>
        </w:rPr>
        <w:t>国三及以下排放标准营运中型和重型柴油货车</w:t>
      </w:r>
      <w:r>
        <w:rPr>
          <w:rFonts w:hint="eastAsia" w:ascii="仿宋_GB2312" w:hAnsi="仿宋_GB2312" w:eastAsia="仿宋_GB2312" w:cs="仿宋_GB2312"/>
          <w:color w:val="auto"/>
          <w:sz w:val="32"/>
          <w:szCs w:val="32"/>
          <w:lang w:val="en-US" w:eastAsia="zh-CN"/>
        </w:rPr>
        <w:t>详细信息。</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淘汰范围：</w:t>
      </w:r>
      <w:r>
        <w:rPr>
          <w:rFonts w:hint="eastAsia" w:ascii="仿宋_GB2312" w:hAnsi="仿宋_GB2312" w:eastAsia="仿宋_GB2312" w:cs="仿宋_GB2312"/>
          <w:color w:val="auto"/>
          <w:sz w:val="32"/>
          <w:szCs w:val="32"/>
        </w:rPr>
        <w:t>本方案所指的国三及以下排放标准营运中型和重型柴油货车，是指在我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公安交警部门注册、出厂车辆排放登记为国三及以下、持有交通部门配发的《道路运输证》的中型和重型营运柴油货车。</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淘汰流程：</w:t>
      </w:r>
      <w:r>
        <w:rPr>
          <w:rFonts w:hint="eastAsia" w:ascii="仿宋_GB2312" w:hAnsi="仿宋_GB2312" w:eastAsia="仿宋_GB2312" w:cs="仿宋_GB2312"/>
          <w:color w:val="auto"/>
          <w:sz w:val="32"/>
          <w:szCs w:val="32"/>
        </w:rPr>
        <w:t>生态环境部门出具车辆排放信息审核证明，商务部门审核认定车辆报废证明，公安交警部门出具车辆手续核销证明，交通部门出具营运车辆注销证明并对相关资料审核确认，财政部门核拨补助资金。</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淘汰补助资金申领条件及标准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淘汰补助申领条件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申请柴油货车淘汰补助，须同时具备下列条件：符合淘汰范围规定的柴油货车；经交通运输、生态环境、公安交警部门核准、公示；具备提前淘汰条件，且非因</w:t>
      </w:r>
      <w:r>
        <w:rPr>
          <w:rFonts w:hint="eastAsia" w:ascii="仿宋_GB2312" w:hAnsi="仿宋_GB2312" w:eastAsia="仿宋_GB2312" w:cs="仿宋_GB2312"/>
          <w:color w:val="auto"/>
          <w:sz w:val="32"/>
          <w:szCs w:val="32"/>
        </w:rPr>
        <w:t>自然报废或交通事故导致直接报废；车辆不缺失机动车五大总成；经省级商部门认定的有合法资质报废汽车回收企业回收拆解，并取得《</w:t>
      </w:r>
      <w:bookmarkStart w:id="0" w:name="_GoBack"/>
      <w:bookmarkEnd w:id="0"/>
      <w:r>
        <w:rPr>
          <w:rFonts w:hint="eastAsia" w:ascii="仿宋_GB2312" w:hAnsi="仿宋_GB2312" w:eastAsia="仿宋_GB2312" w:cs="仿宋_GB2312"/>
          <w:color w:val="auto"/>
          <w:sz w:val="32"/>
          <w:szCs w:val="32"/>
        </w:rPr>
        <w:t>报废汽车回收证明》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取得登记地公安交警部门出具的《机动车注销证明》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取得许可地交通部门出具的《道路运输证注销证明》</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淘汰补助资金标准</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营运中型和重型柴油货车补助资金由市、县财政各负担50%</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参照2014年山西省黄标车淘补助标准，</w:t>
      </w: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rPr>
        <w:t>鼓励提前淘汰奖补</w:t>
      </w:r>
      <w:r>
        <w:rPr>
          <w:rFonts w:hint="eastAsia" w:ascii="仿宋_GB2312" w:hAnsi="仿宋_GB2312" w:eastAsia="仿宋_GB2312" w:cs="仿宋_GB2312"/>
          <w:color w:val="auto"/>
          <w:sz w:val="32"/>
          <w:szCs w:val="32"/>
          <w:lang w:eastAsia="zh-CN"/>
        </w:rPr>
        <w:t>。</w:t>
      </w:r>
    </w:p>
    <w:tbl>
      <w:tblPr>
        <w:tblStyle w:val="4"/>
        <w:tblW w:w="8798"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658"/>
        <w:gridCol w:w="1705"/>
        <w:gridCol w:w="148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50" w:type="dxa"/>
            <w:vMerge w:val="restart"/>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jc w:val="right"/>
              <w:textAlignment w:val="auto"/>
              <w:outlineLvl w:val="9"/>
              <w:rPr>
                <w:rFonts w:hint="eastAsia" w:ascii="仿宋_GB2312" w:hAnsi="仿宋_GB2312" w:eastAsia="仿宋_GB2312" w:cs="仿宋_GB2312"/>
                <w:color w:val="333333"/>
                <w:sz w:val="30"/>
                <w:szCs w:val="30"/>
                <w:lang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26670</wp:posOffset>
                      </wp:positionV>
                      <wp:extent cx="1381125" cy="936625"/>
                      <wp:effectExtent l="2540" t="3810" r="6985" b="12065"/>
                      <wp:wrapNone/>
                      <wp:docPr id="1" name="直接连接符 1"/>
                      <wp:cNvGraphicFramePr/>
                      <a:graphic xmlns:a="http://schemas.openxmlformats.org/drawingml/2006/main">
                        <a:graphicData uri="http://schemas.microsoft.com/office/word/2010/wordprocessingShape">
                          <wps:wsp>
                            <wps:cNvCnPr/>
                            <wps:spPr>
                              <a:xfrm>
                                <a:off x="965835" y="909320"/>
                                <a:ext cx="1381125" cy="936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2.1pt;height:73.75pt;width:108.75pt;z-index:251658240;mso-width-relative:page;mso-height-relative:page;" filled="f" stroked="t" coordsize="21600,21600" o:gfxdata="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Eg3tYAAAAIAQAADwAAAAAAAAABACAAAAAiAAAAZHJzL2Rvd25yZXYueG1sUEsBAhQAFAAA&#10;AAgAh07iQA/Q+L3xAQAAwA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仿宋_GB2312" w:hAnsi="仿宋_GB2312" w:eastAsia="仿宋_GB2312" w:cs="仿宋_GB2312"/>
                <w:color w:val="333333"/>
                <w:sz w:val="30"/>
                <w:szCs w:val="30"/>
                <w:lang w:eastAsia="zh-CN"/>
              </w:rPr>
              <w:t>初次登记</w:t>
            </w: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jc w:val="right"/>
              <w:textAlignment w:val="auto"/>
              <w:outlineLvl w:val="9"/>
              <w:rPr>
                <w:rFonts w:hint="eastAsia" w:ascii="仿宋_GB2312" w:hAnsi="仿宋_GB2312" w:eastAsia="仿宋_GB2312" w:cs="仿宋_GB2312"/>
                <w:color w:val="333333"/>
                <w:sz w:val="30"/>
                <w:szCs w:val="30"/>
                <w:lang w:eastAsia="zh-CN"/>
              </w:rPr>
            </w:pPr>
            <w:r>
              <w:rPr>
                <w:rFonts w:hint="eastAsia" w:ascii="仿宋_GB2312" w:hAnsi="仿宋_GB2312" w:eastAsia="仿宋_GB2312" w:cs="仿宋_GB2312"/>
                <w:color w:val="333333"/>
                <w:sz w:val="30"/>
                <w:szCs w:val="30"/>
                <w:lang w:eastAsia="zh-CN"/>
              </w:rPr>
              <w:t>注册年份</w:t>
            </w: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车辆</w:t>
            </w: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类型</w:t>
            </w:r>
          </w:p>
        </w:tc>
        <w:tc>
          <w:tcPr>
            <w:tcW w:w="6548" w:type="dxa"/>
            <w:gridSpan w:val="4"/>
            <w:tcBorders>
              <w:left w:val="nil"/>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淘汰补助资金标准（万元）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250" w:type="dxa"/>
            <w:vMerge w:val="continue"/>
            <w:tcBorders>
              <w:bottom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p>
        </w:tc>
        <w:tc>
          <w:tcPr>
            <w:tcW w:w="1658" w:type="dxa"/>
            <w:tcBorders>
              <w:top w:val="single" w:color="auto" w:sz="4" w:space="0"/>
              <w:left w:val="nil"/>
              <w:bottom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pacing w:val="-40"/>
                <w:sz w:val="30"/>
                <w:szCs w:val="30"/>
                <w:lang w:eastAsia="zh-CN"/>
              </w:rPr>
            </w:pPr>
            <w:r>
              <w:rPr>
                <w:rFonts w:hint="eastAsia" w:ascii="仿宋_GB2312" w:hAnsi="仿宋_GB2312" w:eastAsia="仿宋_GB2312" w:cs="仿宋_GB2312"/>
                <w:color w:val="333333"/>
                <w:spacing w:val="-40"/>
                <w:sz w:val="30"/>
                <w:szCs w:val="30"/>
                <w:lang w:eastAsia="zh-CN"/>
              </w:rPr>
              <w:t>2008年及以前</w:t>
            </w:r>
          </w:p>
        </w:tc>
        <w:tc>
          <w:tcPr>
            <w:tcW w:w="1705" w:type="dxa"/>
            <w:tcBorders>
              <w:top w:val="single" w:color="auto" w:sz="4" w:space="0"/>
              <w:left w:val="nil"/>
              <w:bottom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pacing w:val="-40"/>
                <w:sz w:val="30"/>
                <w:szCs w:val="30"/>
                <w:lang w:eastAsia="zh-CN"/>
              </w:rPr>
            </w:pPr>
            <w:r>
              <w:rPr>
                <w:rFonts w:hint="eastAsia" w:ascii="仿宋_GB2312" w:hAnsi="仿宋_GB2312" w:eastAsia="仿宋_GB2312" w:cs="仿宋_GB2312"/>
                <w:color w:val="333333"/>
                <w:spacing w:val="-40"/>
                <w:sz w:val="30"/>
                <w:szCs w:val="30"/>
                <w:lang w:eastAsia="zh-CN"/>
              </w:rPr>
              <w:t>2009-2010年</w:t>
            </w:r>
          </w:p>
        </w:tc>
        <w:tc>
          <w:tcPr>
            <w:tcW w:w="1485" w:type="dxa"/>
            <w:tcBorders>
              <w:top w:val="single" w:color="auto" w:sz="4" w:space="0"/>
              <w:left w:val="nil"/>
              <w:bottom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pacing w:val="-40"/>
                <w:sz w:val="30"/>
                <w:szCs w:val="30"/>
                <w:lang w:eastAsia="zh-CN"/>
              </w:rPr>
            </w:pPr>
            <w:r>
              <w:rPr>
                <w:rFonts w:hint="eastAsia" w:ascii="仿宋_GB2312" w:hAnsi="仿宋_GB2312" w:eastAsia="仿宋_GB2312" w:cs="仿宋_GB2312"/>
                <w:color w:val="333333"/>
                <w:spacing w:val="-40"/>
                <w:sz w:val="30"/>
                <w:szCs w:val="30"/>
                <w:lang w:eastAsia="zh-CN"/>
              </w:rPr>
              <w:t>2011-2012年</w:t>
            </w:r>
          </w:p>
        </w:tc>
        <w:tc>
          <w:tcPr>
            <w:tcW w:w="1700"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pacing w:val="-40"/>
                <w:sz w:val="30"/>
                <w:szCs w:val="30"/>
                <w:lang w:eastAsia="zh-CN"/>
              </w:rPr>
            </w:pPr>
            <w:r>
              <w:rPr>
                <w:rFonts w:hint="eastAsia" w:ascii="仿宋_GB2312" w:hAnsi="仿宋_GB2312" w:eastAsia="仿宋_GB2312" w:cs="仿宋_GB2312"/>
                <w:color w:val="333333"/>
                <w:spacing w:val="-40"/>
                <w:sz w:val="30"/>
                <w:szCs w:val="30"/>
                <w:lang w:eastAsia="zh-CN"/>
              </w:rPr>
              <w:t>2013年及以后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50" w:type="dxa"/>
            <w:tcBorders>
              <w:top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重型载货车辆</w:t>
            </w:r>
          </w:p>
        </w:tc>
        <w:tc>
          <w:tcPr>
            <w:tcW w:w="165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0.88</w:t>
            </w:r>
          </w:p>
        </w:tc>
        <w:tc>
          <w:tcPr>
            <w:tcW w:w="1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1.43</w:t>
            </w:r>
          </w:p>
        </w:tc>
        <w:tc>
          <w:tcPr>
            <w:tcW w:w="148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1.65</w:t>
            </w:r>
          </w:p>
        </w:tc>
        <w:tc>
          <w:tcPr>
            <w:tcW w:w="1700" w:type="dxa"/>
            <w:tcBorders>
              <w:top w:val="single" w:color="auto" w:sz="4" w:space="0"/>
              <w:left w:val="single" w:color="auto" w:sz="4" w:space="0"/>
              <w:bottom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50"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中型载货车辆</w:t>
            </w:r>
          </w:p>
        </w:tc>
        <w:tc>
          <w:tcPr>
            <w:tcW w:w="1658"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0.55</w:t>
            </w:r>
          </w:p>
        </w:tc>
        <w:tc>
          <w:tcPr>
            <w:tcW w:w="1705"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0.88</w:t>
            </w:r>
          </w:p>
        </w:tc>
        <w:tc>
          <w:tcPr>
            <w:tcW w:w="1485" w:type="dxa"/>
            <w:tcBorders>
              <w:left w:val="nil"/>
              <w:bottom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1.11</w:t>
            </w:r>
          </w:p>
        </w:tc>
        <w:tc>
          <w:tcPr>
            <w:tcW w:w="1700"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98" w:type="dxa"/>
            <w:gridSpan w:val="5"/>
            <w:tcBorders>
              <w:top w:val="nil"/>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textAlignment w:val="auto"/>
              <w:outlineLvl w:val="9"/>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rPr>
              <w:t>说明</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本标准参照</w:t>
            </w:r>
            <w:r>
              <w:rPr>
                <w:rFonts w:hint="eastAsia" w:ascii="仿宋_GB2312" w:hAnsi="仿宋_GB2312" w:eastAsia="仿宋_GB2312" w:cs="仿宋_GB2312"/>
                <w:color w:val="333333"/>
                <w:sz w:val="32"/>
                <w:szCs w:val="32"/>
                <w:lang w:eastAsia="zh-CN"/>
              </w:rPr>
              <w:t>2014年山西省黄标车淘汰补助标准规定。</w:t>
            </w:r>
          </w:p>
        </w:tc>
      </w:tr>
    </w:tbl>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黑体" w:hAnsi="黑体" w:eastAsia="黑体" w:cs="黑体"/>
          <w:i w:val="0"/>
          <w:caps w:val="0"/>
          <w:color w:val="333333"/>
          <w:spacing w:val="0"/>
          <w:sz w:val="32"/>
          <w:szCs w:val="32"/>
          <w:bdr w:val="none" w:color="auto" w:sz="0" w:space="0"/>
          <w:shd w:val="clear" w:fill="FFFFFF"/>
        </w:rPr>
        <w:t>相关文件：</w:t>
      </w:r>
      <w:r>
        <w:rPr>
          <w:rFonts w:hint="eastAsia" w:ascii="仿宋" w:hAnsi="仿宋" w:eastAsia="仿宋" w:cs="仿宋"/>
          <w:i w:val="0"/>
          <w:caps w:val="0"/>
          <w:color w:val="333333"/>
          <w:spacing w:val="0"/>
          <w:sz w:val="32"/>
          <w:szCs w:val="32"/>
          <w:bdr w:val="none" w:color="auto" w:sz="0" w:space="0"/>
          <w:shd w:val="clear" w:fill="FFFFFF"/>
        </w:rPr>
        <w:t>《神池县人民政府办公室关于印发神池县推进国三及以下排放标准营运中型和重型柴油货车淘汰工作方案的通知》</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p>
    <w:sectPr>
      <w:headerReference r:id="rId3" w:type="default"/>
      <w:footerReference r:id="rId4"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3370"/>
    <w:rsid w:val="00D1318D"/>
    <w:rsid w:val="11443229"/>
    <w:rsid w:val="165604AC"/>
    <w:rsid w:val="22E51F5C"/>
    <w:rsid w:val="33D561EF"/>
    <w:rsid w:val="52795112"/>
    <w:rsid w:val="593C4530"/>
    <w:rsid w:val="5A4B1094"/>
    <w:rsid w:val="65CA2D82"/>
    <w:rsid w:val="697C26C7"/>
    <w:rsid w:val="796E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kern w:val="0"/>
      <w:sz w:val="22"/>
      <w:szCs w:val="22"/>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2020-12-21T08:09:08Z</dcterms:created>
  <dc:creator>lenovo</dc:creator>
  <cp:lastModifiedBy>lenovo</cp:lastModifiedBy>
  <dcterms:modified xsi:type="dcterms:W3CDTF">2020-12-21T08:22:59Z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