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right="0"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太平庄乡</w:t>
      </w:r>
      <w:r>
        <w:rPr>
          <w:rFonts w:hint="eastAsia" w:ascii="黑体" w:hAnsi="黑体" w:eastAsia="黑体" w:cs="黑体"/>
          <w:sz w:val="44"/>
          <w:szCs w:val="44"/>
        </w:rPr>
        <w:t>2019年政府信息公开工作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right="0"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</w:rPr>
        <w:t>2019度以来，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  <w:t>太平庄乡政府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</w:rPr>
        <w:t>在县委、县政府的正确领导下，认真贯彻《中华人民共和国政府信息公开条例》的各项要求，以深化公开内容、建立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</w:rPr>
        <w:t>和完善各项制度、加强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  <w:t>信息沟通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  <w:t>回应网络舆情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</w:rPr>
        <w:t>等为重点，扎实推进政府信息公开工作。现将2019年度开展工作的有关情况报告如下：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一、提高政治站位，推进全面公开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  <w:t>2019年，我乡坚持以习近平新时代中国特色社会主义思想为指导，深入贯彻党的十九大和十九届二中、三中、四中全会精神，深入贯彻习近平总书记视察山西重要讲话精神，严格落实《条例》和国家、省、市有关政府信息公开工作的部署要求，紧紧围绕全乡中心工作、重点工作，聚焦全乡经济社会发展重点和群众关注焦点，认真做好政策、政务等两大要素公开，完善政府信息公开平台、队伍、制度三个层次建设，加快决策、执行、管理、服务四个领域提升，全面推进公开、落实、规范、服务、效能五个目标实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二、强化组织领导，完善制度建设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  <w:t>一是加强组织领导，确定一名班子成员分管政府信息公开工作，乡党政办公室负责政府信息公开工作。二是强化绩效考核，将政府信息公开工作纳入绩效考核评价指标体系，加强指标任务定期督查和对照整改。二是加强培训和制度建设，提升政务公开水平。为保障政府信息公开及时、真实、安全，制定施行《太平庄乡工作例会制度》、《太平庄乡机关集中学习制度》、《机关日常工作管理制度》、《财务管理制度》等规章制度保障和服务全乡政府信息公开工作。同时将培训教育作为政务公开工作的重中之重，组织全镇领导干部学习，清楚了政府信息公开审核、发布、监督、问责等工作流程，切实提高了全乡干部政府信息公开的责任意识、程序意识、保密意识，有效提升了政务信息公开工作水平。三是扩宽公开渠道，继续加强乡政府信息公开，乡机关和各村都设立党务、政务信息公开栏，提高政府信息公开工作的及时性、主动性、针对性和有效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shd w:val="clear" w:fill="FFFFFF"/>
          <w:lang w:val="en-US" w:eastAsia="zh-CN"/>
        </w:rPr>
        <w:t>三、存在的主要问题及改进情况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  <w:t>存在的主要问题：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  <w:t>1、信息公开的内容有待进一步完善；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  <w:t>2、部分栏目信息更新还不够及时。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  <w:t>针对问题的改进措施：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  <w:t>1、统一认识，努力规范工作程序。我乡将按照“公开为原则，不公开为例外”的总体要求，进一步做好信息公开工作，严格执行信息审核、发布制度，确保信息公开准确、及时、有效。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  <w:t>2、认真梳理，逐步扩大公开内容。我乡将进一步梳理政府信息，对原有的政府信息公开目录进行补充完善，保证公开信息的完整性和准确性。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shd w:val="clear" w:fill="FFFFFF"/>
          <w:lang w:val="en-US" w:eastAsia="zh-CN"/>
        </w:rPr>
        <w:t>四、其他需要报告的事项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4800" w:firstLineChars="15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  <w:t>太平庄乡人民政府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4800" w:firstLineChars="15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  <w:t>2020年1月19日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4800" w:firstLineChars="15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4800" w:firstLineChars="15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4800" w:firstLineChars="15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4800" w:firstLineChars="15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4800" w:firstLineChars="15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4800" w:firstLineChars="15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4800" w:firstLineChars="15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4800" w:firstLineChars="15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2019年主动公开政府信息情况表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1896"/>
        <w:gridCol w:w="1296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</w:t>
            </w:r>
            <w:r>
              <w:rPr>
                <w:rFonts w:ascii="仿宋" w:hAnsi="仿宋" w:eastAsia="仿宋"/>
                <w:sz w:val="24"/>
                <w:szCs w:val="24"/>
              </w:rPr>
              <w:t>二十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条</w:t>
            </w:r>
            <w:r>
              <w:rPr>
                <w:rFonts w:ascii="仿宋" w:hAnsi="仿宋" w:eastAsia="仿宋"/>
                <w:sz w:val="24"/>
                <w:szCs w:val="24"/>
              </w:rPr>
              <w:t>第（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一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  <w:r>
              <w:rPr>
                <w:rFonts w:ascii="仿宋" w:hAnsi="仿宋" w:eastAsia="仿宋"/>
                <w:sz w:val="24"/>
                <w:szCs w:val="24"/>
              </w:rPr>
              <w:t>内容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</w:t>
            </w:r>
            <w:r>
              <w:rPr>
                <w:rFonts w:ascii="仿宋" w:hAnsi="仿宋" w:eastAsia="仿宋"/>
                <w:sz w:val="24"/>
                <w:szCs w:val="24"/>
              </w:rPr>
              <w:t>年新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制作数量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</w:t>
            </w:r>
            <w:r>
              <w:rPr>
                <w:rFonts w:ascii="仿宋" w:hAnsi="仿宋" w:eastAsia="仿宋"/>
                <w:sz w:val="24"/>
                <w:szCs w:val="24"/>
              </w:rPr>
              <w:t>年新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公开数量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对</w:t>
            </w:r>
            <w:r>
              <w:rPr>
                <w:rFonts w:ascii="仿宋" w:hAnsi="仿宋" w:eastAsia="仿宋"/>
                <w:sz w:val="24"/>
                <w:szCs w:val="24"/>
              </w:rPr>
              <w:t>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</w:t>
            </w:r>
            <w:r>
              <w:rPr>
                <w:rFonts w:ascii="仿宋" w:hAnsi="仿宋" w:eastAsia="仿宋"/>
                <w:sz w:val="24"/>
                <w:szCs w:val="24"/>
              </w:rPr>
              <w:t>章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规范性</w:t>
            </w:r>
            <w:r>
              <w:rPr>
                <w:rFonts w:ascii="仿宋" w:hAnsi="仿宋" w:eastAsia="仿宋"/>
                <w:sz w:val="24"/>
                <w:szCs w:val="24"/>
              </w:rPr>
              <w:t>文件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</w:t>
            </w:r>
            <w:r>
              <w:rPr>
                <w:rFonts w:ascii="仿宋" w:hAnsi="仿宋" w:eastAsia="仿宋"/>
                <w:sz w:val="24"/>
                <w:szCs w:val="24"/>
              </w:rPr>
              <w:t>二十条第（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五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  <w:r>
              <w:rPr>
                <w:rFonts w:ascii="仿宋" w:hAnsi="仿宋" w:eastAsia="仿宋"/>
                <w:sz w:val="24"/>
                <w:szCs w:val="24"/>
              </w:rPr>
              <w:t>内容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</w:t>
            </w:r>
            <w:r>
              <w:rPr>
                <w:rFonts w:ascii="仿宋" w:hAnsi="仿宋" w:eastAsia="仿宋"/>
                <w:sz w:val="24"/>
                <w:szCs w:val="24"/>
              </w:rPr>
              <w:t>一年项目数量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</w:t>
            </w:r>
            <w:r>
              <w:rPr>
                <w:rFonts w:ascii="仿宋" w:hAnsi="仿宋" w:eastAsia="仿宋"/>
                <w:sz w:val="24"/>
                <w:szCs w:val="24"/>
              </w:rPr>
              <w:t>年增/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减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</w:t>
            </w:r>
            <w:r>
              <w:rPr>
                <w:rFonts w:ascii="仿宋" w:hAnsi="仿宋" w:eastAsia="仿宋"/>
                <w:sz w:val="24"/>
                <w:szCs w:val="24"/>
              </w:rPr>
              <w:t>许可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  <w:r>
              <w:rPr>
                <w:rFonts w:ascii="仿宋" w:hAnsi="仿宋" w:eastAsia="仿宋"/>
                <w:sz w:val="24"/>
                <w:szCs w:val="24"/>
              </w:rPr>
              <w:t>对外管理服务事项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</w:t>
            </w:r>
            <w:r>
              <w:rPr>
                <w:rFonts w:ascii="仿宋" w:hAnsi="仿宋" w:eastAsia="仿宋"/>
                <w:sz w:val="24"/>
                <w:szCs w:val="24"/>
              </w:rPr>
              <w:t>二十条第（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六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  <w:r>
              <w:rPr>
                <w:rFonts w:ascii="仿宋" w:hAnsi="仿宋" w:eastAsia="仿宋"/>
                <w:sz w:val="24"/>
                <w:szCs w:val="24"/>
              </w:rPr>
              <w:t>内容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</w:t>
            </w:r>
            <w:r>
              <w:rPr>
                <w:rFonts w:ascii="仿宋" w:hAnsi="仿宋" w:eastAsia="仿宋"/>
                <w:sz w:val="24"/>
                <w:szCs w:val="24"/>
              </w:rPr>
              <w:t>一年项目数量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</w:t>
            </w:r>
            <w:r>
              <w:rPr>
                <w:rFonts w:ascii="仿宋" w:hAnsi="仿宋" w:eastAsia="仿宋"/>
                <w:sz w:val="24"/>
                <w:szCs w:val="24"/>
              </w:rPr>
              <w:t>年增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/减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</w:t>
            </w:r>
            <w:r>
              <w:rPr>
                <w:rFonts w:ascii="仿宋" w:hAnsi="仿宋" w:eastAsia="仿宋"/>
                <w:sz w:val="24"/>
                <w:szCs w:val="24"/>
              </w:rPr>
              <w:t>政处罚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</w:t>
            </w:r>
            <w:r>
              <w:rPr>
                <w:rFonts w:ascii="仿宋" w:hAnsi="仿宋" w:eastAsia="仿宋"/>
                <w:sz w:val="24"/>
                <w:szCs w:val="24"/>
              </w:rPr>
              <w:t>强制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</w:t>
            </w:r>
            <w:r>
              <w:rPr>
                <w:rFonts w:ascii="仿宋" w:hAnsi="仿宋" w:eastAsia="仿宋"/>
                <w:sz w:val="24"/>
                <w:szCs w:val="24"/>
              </w:rPr>
              <w:t>二十条第（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八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  <w:r>
              <w:rPr>
                <w:rFonts w:ascii="仿宋" w:hAnsi="仿宋" w:eastAsia="仿宋"/>
                <w:sz w:val="24"/>
                <w:szCs w:val="24"/>
              </w:rPr>
              <w:t>内容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</w:t>
            </w:r>
            <w:r>
              <w:rPr>
                <w:rFonts w:ascii="仿宋" w:hAnsi="仿宋" w:eastAsia="仿宋"/>
                <w:sz w:val="24"/>
                <w:szCs w:val="24"/>
              </w:rPr>
              <w:t>一年项目数量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</w:t>
            </w:r>
            <w:r>
              <w:rPr>
                <w:rFonts w:ascii="仿宋" w:hAnsi="仿宋" w:eastAsia="仿宋"/>
                <w:sz w:val="24"/>
                <w:szCs w:val="24"/>
              </w:rPr>
              <w:t>年增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</w:t>
            </w:r>
            <w:r>
              <w:rPr>
                <w:rFonts w:ascii="仿宋" w:hAnsi="仿宋" w:eastAsia="仿宋"/>
                <w:sz w:val="24"/>
                <w:szCs w:val="24"/>
              </w:rPr>
              <w:t>事业性收费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</w:t>
            </w:r>
            <w:r>
              <w:rPr>
                <w:rFonts w:ascii="仿宋" w:hAnsi="仿宋" w:eastAsia="仿宋"/>
                <w:sz w:val="24"/>
                <w:szCs w:val="24"/>
              </w:rPr>
              <w:t>二十条第（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九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  <w:r>
              <w:rPr>
                <w:rFonts w:ascii="仿宋" w:hAnsi="仿宋" w:eastAsia="仿宋"/>
                <w:sz w:val="24"/>
                <w:szCs w:val="24"/>
              </w:rPr>
              <w:t>内容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采购</w:t>
            </w:r>
            <w:r>
              <w:rPr>
                <w:rFonts w:ascii="仿宋" w:hAnsi="仿宋" w:eastAsia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数量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采购</w:t>
            </w:r>
            <w:r>
              <w:rPr>
                <w:rFonts w:ascii="仿宋" w:hAnsi="仿宋" w:eastAsia="仿宋"/>
                <w:sz w:val="24"/>
                <w:szCs w:val="24"/>
              </w:rPr>
              <w:t>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</w:t>
            </w:r>
            <w:r>
              <w:rPr>
                <w:rFonts w:ascii="仿宋" w:hAnsi="仿宋" w:eastAsia="仿宋"/>
                <w:sz w:val="24"/>
                <w:szCs w:val="24"/>
              </w:rPr>
              <w:t>集中收购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019</w:t>
      </w:r>
      <w:r>
        <w:rPr>
          <w:rFonts w:hint="eastAsia" w:ascii="仿宋" w:hAnsi="仿宋" w:eastAsia="仿宋"/>
          <w:sz w:val="32"/>
          <w:szCs w:val="32"/>
        </w:rPr>
        <w:t>年收</w:t>
      </w:r>
      <w:r>
        <w:rPr>
          <w:rFonts w:ascii="仿宋" w:hAnsi="仿宋" w:eastAsia="仿宋"/>
          <w:sz w:val="32"/>
          <w:szCs w:val="32"/>
        </w:rPr>
        <w:t>到和处理</w:t>
      </w:r>
      <w:r>
        <w:rPr>
          <w:rFonts w:hint="eastAsia" w:ascii="仿宋" w:hAnsi="仿宋" w:eastAsia="仿宋"/>
          <w:sz w:val="32"/>
          <w:szCs w:val="32"/>
        </w:rPr>
        <w:t>政府信息公开申请情况表</w:t>
      </w:r>
    </w:p>
    <w:p>
      <w:pPr>
        <w:spacing w:line="240" w:lineRule="exact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7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923"/>
        <w:gridCol w:w="1278"/>
        <w:gridCol w:w="816"/>
        <w:gridCol w:w="743"/>
        <w:gridCol w:w="583"/>
        <w:gridCol w:w="855"/>
        <w:gridCol w:w="764"/>
        <w:gridCol w:w="575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gridSpan w:val="3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（本</w:t>
            </w:r>
            <w:r>
              <w:rPr>
                <w:rFonts w:ascii="仿宋" w:hAnsi="仿宋" w:eastAsia="仿宋"/>
                <w:sz w:val="15"/>
                <w:szCs w:val="15"/>
              </w:rPr>
              <w:t>列数据的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勾</w:t>
            </w:r>
            <w:r>
              <w:rPr>
                <w:rFonts w:ascii="仿宋" w:hAnsi="仿宋" w:eastAsia="仿宋"/>
                <w:sz w:val="15"/>
                <w:szCs w:val="15"/>
              </w:rPr>
              <w:t>稽关系为：第一项加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第</w:t>
            </w:r>
            <w:r>
              <w:rPr>
                <w:rFonts w:ascii="仿宋" w:hAnsi="仿宋" w:eastAsia="仿宋"/>
                <w:sz w:val="15"/>
                <w:szCs w:val="15"/>
              </w:rPr>
              <w:t>二项之和，等于第三项加第四项之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和</w:t>
            </w:r>
            <w:r>
              <w:rPr>
                <w:rFonts w:ascii="仿宋" w:hAnsi="仿宋" w:eastAsia="仿宋"/>
                <w:sz w:val="15"/>
                <w:szCs w:val="15"/>
              </w:rPr>
              <w:t>）</w:t>
            </w:r>
          </w:p>
        </w:tc>
        <w:tc>
          <w:tcPr>
            <w:tcW w:w="5103" w:type="dxa"/>
            <w:gridSpan w:val="7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申请</w:t>
            </w:r>
            <w:r>
              <w:rPr>
                <w:rFonts w:ascii="仿宋" w:hAnsi="仿宋" w:eastAsia="仿宋"/>
                <w:sz w:val="15"/>
                <w:szCs w:val="15"/>
              </w:rPr>
              <w:t>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gridSpan w:val="3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16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自然</w:t>
            </w:r>
            <w:r>
              <w:rPr>
                <w:rFonts w:ascii="仿宋" w:hAnsi="仿宋" w:eastAsia="仿宋"/>
                <w:sz w:val="15"/>
                <w:szCs w:val="15"/>
              </w:rPr>
              <w:t>人</w:t>
            </w:r>
          </w:p>
        </w:tc>
        <w:tc>
          <w:tcPr>
            <w:tcW w:w="3520" w:type="dxa"/>
            <w:gridSpan w:val="5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法</w:t>
            </w:r>
            <w:r>
              <w:rPr>
                <w:rFonts w:ascii="仿宋" w:hAnsi="仿宋" w:eastAsia="仿宋"/>
                <w:sz w:val="15"/>
                <w:szCs w:val="15"/>
              </w:rPr>
              <w:t>人或其他组织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gridSpan w:val="3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商业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企业</w:t>
            </w:r>
          </w:p>
        </w:tc>
        <w:tc>
          <w:tcPr>
            <w:tcW w:w="58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科研</w:t>
            </w:r>
            <w:r>
              <w:rPr>
                <w:rFonts w:ascii="仿宋" w:hAnsi="仿宋" w:eastAsia="仿宋"/>
                <w:sz w:val="15"/>
                <w:szCs w:val="15"/>
              </w:rPr>
              <w:t>机构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社会</w:t>
            </w:r>
            <w:r>
              <w:rPr>
                <w:rFonts w:ascii="仿宋" w:hAnsi="仿宋" w:eastAsia="仿宋"/>
                <w:sz w:val="15"/>
                <w:szCs w:val="15"/>
              </w:rPr>
              <w:t>公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益组织</w:t>
            </w: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法律</w:t>
            </w:r>
            <w:r>
              <w:rPr>
                <w:rFonts w:ascii="仿宋" w:hAnsi="仿宋" w:eastAsia="仿宋"/>
                <w:sz w:val="15"/>
                <w:szCs w:val="15"/>
              </w:rPr>
              <w:t>服</w:t>
            </w:r>
          </w:p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务机构</w:t>
            </w:r>
          </w:p>
        </w:tc>
        <w:tc>
          <w:tcPr>
            <w:tcW w:w="575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其他</w:t>
            </w:r>
          </w:p>
        </w:tc>
        <w:tc>
          <w:tcPr>
            <w:tcW w:w="767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gridSpan w:val="3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一</w:t>
            </w:r>
            <w:r>
              <w:rPr>
                <w:rFonts w:ascii="仿宋" w:hAnsi="仿宋" w:eastAsia="仿宋"/>
                <w:sz w:val="15"/>
                <w:szCs w:val="15"/>
              </w:rPr>
              <w:t>、本年度新收政府信息公开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申请</w:t>
            </w:r>
            <w:r>
              <w:rPr>
                <w:rFonts w:ascii="仿宋" w:hAnsi="仿宋" w:eastAsia="仿宋"/>
                <w:sz w:val="15"/>
                <w:szCs w:val="15"/>
              </w:rPr>
              <w:t>数量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gridSpan w:val="3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二</w:t>
            </w:r>
            <w:r>
              <w:rPr>
                <w:rFonts w:ascii="仿宋" w:hAnsi="仿宋" w:eastAsia="仿宋"/>
                <w:sz w:val="15"/>
                <w:szCs w:val="15"/>
              </w:rPr>
              <w:t>、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上</w:t>
            </w:r>
            <w:r>
              <w:rPr>
                <w:rFonts w:ascii="仿宋" w:hAnsi="仿宋" w:eastAsia="仿宋"/>
                <w:sz w:val="15"/>
                <w:szCs w:val="15"/>
              </w:rPr>
              <w:t>年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结转</w:t>
            </w:r>
            <w:r>
              <w:rPr>
                <w:rFonts w:ascii="仿宋" w:hAnsi="仿宋" w:eastAsia="仿宋"/>
                <w:sz w:val="15"/>
                <w:szCs w:val="15"/>
              </w:rPr>
              <w:t>政府信息公开申请数量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restart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三</w:t>
            </w:r>
            <w:r>
              <w:rPr>
                <w:rFonts w:ascii="仿宋" w:hAnsi="仿宋" w:eastAsia="仿宋"/>
                <w:sz w:val="15"/>
                <w:szCs w:val="15"/>
              </w:rPr>
              <w:t>、本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年度办理</w:t>
            </w:r>
            <w:r>
              <w:rPr>
                <w:rFonts w:ascii="仿宋" w:hAnsi="仿宋" w:eastAsia="仿宋"/>
                <w:sz w:val="15"/>
                <w:szCs w:val="15"/>
              </w:rPr>
              <w:t>结果</w:t>
            </w:r>
          </w:p>
        </w:tc>
        <w:tc>
          <w:tcPr>
            <w:tcW w:w="2201" w:type="dxa"/>
            <w:gridSpan w:val="2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（一</w:t>
            </w:r>
            <w:r>
              <w:rPr>
                <w:rFonts w:ascii="仿宋" w:hAnsi="仿宋" w:eastAsia="仿宋"/>
                <w:sz w:val="15"/>
                <w:szCs w:val="15"/>
              </w:rPr>
              <w:t>）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予</w:t>
            </w:r>
            <w:r>
              <w:rPr>
                <w:rFonts w:ascii="仿宋" w:hAnsi="仿宋" w:eastAsia="仿宋"/>
                <w:sz w:val="15"/>
                <w:szCs w:val="15"/>
              </w:rPr>
              <w:t>以公开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201" w:type="dxa"/>
            <w:gridSpan w:val="2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（二</w:t>
            </w:r>
            <w:r>
              <w:rPr>
                <w:rFonts w:ascii="仿宋" w:hAnsi="仿宋" w:eastAsia="仿宋"/>
                <w:sz w:val="15"/>
                <w:szCs w:val="15"/>
              </w:rPr>
              <w:t>）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部分</w:t>
            </w:r>
            <w:r>
              <w:rPr>
                <w:rFonts w:ascii="仿宋" w:hAnsi="仿宋" w:eastAsia="仿宋"/>
                <w:sz w:val="15"/>
                <w:szCs w:val="15"/>
              </w:rPr>
              <w:t>公开（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区分</w:t>
            </w:r>
            <w:r>
              <w:rPr>
                <w:rFonts w:ascii="仿宋" w:hAnsi="仿宋" w:eastAsia="仿宋"/>
                <w:sz w:val="15"/>
                <w:szCs w:val="15"/>
              </w:rPr>
              <w:t>处理的，只计这一情形，不计其他情形）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（三</w:t>
            </w:r>
            <w:r>
              <w:rPr>
                <w:rFonts w:ascii="仿宋" w:hAnsi="仿宋" w:eastAsia="仿宋"/>
                <w:sz w:val="15"/>
                <w:szCs w:val="15"/>
              </w:rPr>
              <w:t>）</w:t>
            </w:r>
          </w:p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不</w:t>
            </w:r>
            <w:r>
              <w:rPr>
                <w:rFonts w:ascii="仿宋" w:hAnsi="仿宋" w:eastAsia="仿宋"/>
                <w:sz w:val="15"/>
                <w:szCs w:val="15"/>
              </w:rPr>
              <w:t>予公开</w:t>
            </w: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1.属于</w:t>
            </w:r>
            <w:r>
              <w:rPr>
                <w:rFonts w:ascii="仿宋" w:hAnsi="仿宋" w:eastAsia="仿宋"/>
                <w:sz w:val="15"/>
                <w:szCs w:val="15"/>
              </w:rPr>
              <w:t>国家秘密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2.其他</w:t>
            </w:r>
            <w:r>
              <w:rPr>
                <w:rFonts w:ascii="仿宋" w:hAnsi="仿宋" w:eastAsia="仿宋"/>
                <w:sz w:val="15"/>
                <w:szCs w:val="15"/>
              </w:rPr>
              <w:t>法律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行政</w:t>
            </w:r>
            <w:r>
              <w:rPr>
                <w:rFonts w:ascii="仿宋" w:hAnsi="仿宋" w:eastAsia="仿宋"/>
                <w:sz w:val="15"/>
                <w:szCs w:val="15"/>
              </w:rPr>
              <w:t>法规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禁止</w:t>
            </w:r>
            <w:r>
              <w:rPr>
                <w:rFonts w:ascii="仿宋" w:hAnsi="仿宋" w:eastAsia="仿宋"/>
                <w:sz w:val="15"/>
                <w:szCs w:val="15"/>
              </w:rPr>
              <w:t>公开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3.危及</w:t>
            </w:r>
            <w:r>
              <w:rPr>
                <w:rFonts w:ascii="仿宋" w:hAnsi="仿宋" w:eastAsia="仿宋"/>
                <w:sz w:val="15"/>
                <w:szCs w:val="15"/>
              </w:rPr>
              <w:t>“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三</w:t>
            </w:r>
            <w:r>
              <w:rPr>
                <w:rFonts w:ascii="仿宋" w:hAnsi="仿宋" w:eastAsia="仿宋"/>
                <w:sz w:val="15"/>
                <w:szCs w:val="15"/>
              </w:rPr>
              <w:t>安全一稳定”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4.保护</w:t>
            </w:r>
            <w:r>
              <w:rPr>
                <w:rFonts w:ascii="仿宋" w:hAnsi="仿宋" w:eastAsia="仿宋"/>
                <w:sz w:val="15"/>
                <w:szCs w:val="15"/>
              </w:rPr>
              <w:t>第三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方</w:t>
            </w:r>
            <w:r>
              <w:rPr>
                <w:rFonts w:ascii="仿宋" w:hAnsi="仿宋" w:eastAsia="仿宋"/>
                <w:sz w:val="15"/>
                <w:szCs w:val="15"/>
              </w:rPr>
              <w:t>合法权益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5.属于</w:t>
            </w:r>
            <w:r>
              <w:rPr>
                <w:rFonts w:ascii="仿宋" w:hAnsi="仿宋" w:eastAsia="仿宋"/>
                <w:sz w:val="15"/>
                <w:szCs w:val="15"/>
              </w:rPr>
              <w:t>三类内部事务信息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6.属于</w:t>
            </w:r>
            <w:r>
              <w:rPr>
                <w:rFonts w:ascii="仿宋" w:hAnsi="仿宋" w:eastAsia="仿宋"/>
                <w:sz w:val="15"/>
                <w:szCs w:val="15"/>
              </w:rPr>
              <w:t>四类过程性信息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7.属于</w:t>
            </w:r>
            <w:r>
              <w:rPr>
                <w:rFonts w:ascii="仿宋" w:hAnsi="仿宋" w:eastAsia="仿宋"/>
                <w:sz w:val="15"/>
                <w:szCs w:val="15"/>
              </w:rPr>
              <w:t>行政执法案卷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8.属于</w:t>
            </w:r>
            <w:r>
              <w:rPr>
                <w:rFonts w:ascii="仿宋" w:hAnsi="仿宋" w:eastAsia="仿宋"/>
                <w:sz w:val="15"/>
                <w:szCs w:val="15"/>
              </w:rPr>
              <w:t>行政查询事项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（四</w:t>
            </w:r>
            <w:r>
              <w:rPr>
                <w:rFonts w:ascii="仿宋" w:hAnsi="仿宋" w:eastAsia="仿宋"/>
                <w:sz w:val="15"/>
                <w:szCs w:val="15"/>
              </w:rPr>
              <w:t>）</w:t>
            </w:r>
          </w:p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无</w:t>
            </w:r>
            <w:r>
              <w:rPr>
                <w:rFonts w:ascii="仿宋" w:hAnsi="仿宋" w:eastAsia="仿宋"/>
                <w:sz w:val="15"/>
                <w:szCs w:val="15"/>
              </w:rPr>
              <w:t>法提供</w:t>
            </w: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1.本</w:t>
            </w:r>
            <w:r>
              <w:rPr>
                <w:rFonts w:ascii="仿宋" w:hAnsi="仿宋" w:eastAsia="仿宋"/>
                <w:sz w:val="15"/>
                <w:szCs w:val="15"/>
              </w:rPr>
              <w:t>机关不掌握相关政府信息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2.没有</w:t>
            </w:r>
            <w:r>
              <w:rPr>
                <w:rFonts w:ascii="仿宋" w:hAnsi="仿宋" w:eastAsia="仿宋"/>
                <w:sz w:val="15"/>
                <w:szCs w:val="15"/>
              </w:rPr>
              <w:t>现成信息需要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另行</w:t>
            </w:r>
            <w:r>
              <w:rPr>
                <w:rFonts w:ascii="仿宋" w:hAnsi="仿宋" w:eastAsia="仿宋"/>
                <w:sz w:val="15"/>
                <w:szCs w:val="15"/>
              </w:rPr>
              <w:t>制作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3.补正</w:t>
            </w:r>
            <w:r>
              <w:rPr>
                <w:rFonts w:ascii="仿宋" w:hAnsi="仿宋" w:eastAsia="仿宋"/>
                <w:sz w:val="15"/>
                <w:szCs w:val="15"/>
              </w:rPr>
              <w:t>后申请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内</w:t>
            </w:r>
            <w:r>
              <w:rPr>
                <w:rFonts w:ascii="仿宋" w:hAnsi="仿宋" w:eastAsia="仿宋"/>
                <w:sz w:val="15"/>
                <w:szCs w:val="15"/>
              </w:rPr>
              <w:t>容仍不明确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（五</w:t>
            </w:r>
            <w:r>
              <w:rPr>
                <w:rFonts w:ascii="仿宋" w:hAnsi="仿宋" w:eastAsia="仿宋"/>
                <w:sz w:val="15"/>
                <w:szCs w:val="15"/>
              </w:rPr>
              <w:t>）</w:t>
            </w:r>
          </w:p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不</w:t>
            </w:r>
            <w:r>
              <w:rPr>
                <w:rFonts w:ascii="仿宋" w:hAnsi="仿宋" w:eastAsia="仿宋"/>
                <w:sz w:val="15"/>
                <w:szCs w:val="15"/>
              </w:rPr>
              <w:t>予处理</w:t>
            </w: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1.住房</w:t>
            </w:r>
            <w:r>
              <w:rPr>
                <w:rFonts w:ascii="仿宋" w:hAnsi="仿宋" w:eastAsia="仿宋"/>
                <w:sz w:val="15"/>
                <w:szCs w:val="15"/>
              </w:rPr>
              <w:t>举报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投诉</w:t>
            </w:r>
            <w:r>
              <w:rPr>
                <w:rFonts w:ascii="仿宋" w:hAnsi="仿宋" w:eastAsia="仿宋"/>
                <w:sz w:val="15"/>
                <w:szCs w:val="15"/>
              </w:rPr>
              <w:t>类申请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2.重复</w:t>
            </w:r>
            <w:r>
              <w:rPr>
                <w:rFonts w:ascii="仿宋" w:hAnsi="仿宋" w:eastAsia="仿宋"/>
                <w:sz w:val="15"/>
                <w:szCs w:val="15"/>
              </w:rPr>
              <w:t>申请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3.要求</w:t>
            </w:r>
            <w:r>
              <w:rPr>
                <w:rFonts w:ascii="仿宋" w:hAnsi="仿宋" w:eastAsia="仿宋"/>
                <w:sz w:val="15"/>
                <w:szCs w:val="15"/>
              </w:rPr>
              <w:t>提供公开出版物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4.无</w:t>
            </w:r>
            <w:r>
              <w:rPr>
                <w:rFonts w:ascii="仿宋" w:hAnsi="仿宋" w:eastAsia="仿宋"/>
                <w:sz w:val="15"/>
                <w:szCs w:val="15"/>
              </w:rPr>
              <w:t>正当理由大量反复申请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5.要求</w:t>
            </w:r>
            <w:r>
              <w:rPr>
                <w:rFonts w:ascii="仿宋" w:hAnsi="仿宋" w:eastAsia="仿宋"/>
                <w:sz w:val="15"/>
                <w:szCs w:val="15"/>
              </w:rPr>
              <w:t>行政机关确认或重新出具已获取信息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201" w:type="dxa"/>
            <w:gridSpan w:val="2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（六</w:t>
            </w:r>
            <w:r>
              <w:rPr>
                <w:rFonts w:ascii="仿宋" w:hAnsi="仿宋" w:eastAsia="仿宋"/>
                <w:sz w:val="15"/>
                <w:szCs w:val="15"/>
              </w:rPr>
              <w:t>）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其他</w:t>
            </w:r>
            <w:r>
              <w:rPr>
                <w:rFonts w:ascii="仿宋" w:hAnsi="仿宋" w:eastAsia="仿宋"/>
                <w:sz w:val="15"/>
                <w:szCs w:val="15"/>
              </w:rPr>
              <w:t>处理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201" w:type="dxa"/>
            <w:gridSpan w:val="2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（七</w:t>
            </w:r>
            <w:r>
              <w:rPr>
                <w:rFonts w:ascii="仿宋" w:hAnsi="仿宋" w:eastAsia="仿宋"/>
                <w:sz w:val="15"/>
                <w:szCs w:val="15"/>
              </w:rPr>
              <w:t>）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总计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gridSpan w:val="3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四</w:t>
            </w:r>
            <w:r>
              <w:rPr>
                <w:rFonts w:ascii="仿宋" w:hAnsi="仿宋" w:eastAsia="仿宋"/>
                <w:sz w:val="15"/>
                <w:szCs w:val="15"/>
              </w:rPr>
              <w:t>、结转下年度继续办理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620EA"/>
    <w:rsid w:val="025A35D6"/>
    <w:rsid w:val="3DE6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uiPriority w:val="0"/>
    <w:rPr>
      <w:color w:val="4F4F4F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uiPriority w:val="0"/>
  </w:style>
  <w:style w:type="character" w:styleId="10">
    <w:name w:val="HTML Variable"/>
    <w:basedOn w:val="6"/>
    <w:uiPriority w:val="0"/>
  </w:style>
  <w:style w:type="character" w:styleId="11">
    <w:name w:val="Hyperlink"/>
    <w:basedOn w:val="6"/>
    <w:uiPriority w:val="0"/>
    <w:rPr>
      <w:color w:val="4F4F4F"/>
      <w:u w:val="none"/>
    </w:rPr>
  </w:style>
  <w:style w:type="character" w:styleId="12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6"/>
    <w:qFormat/>
    <w:uiPriority w:val="0"/>
  </w:style>
  <w:style w:type="character" w:styleId="14">
    <w:name w:val="HTML Keyboard"/>
    <w:basedOn w:val="6"/>
    <w:uiPriority w:val="0"/>
    <w:rPr>
      <w:rFonts w:ascii="Courier New" w:hAnsi="Courier New" w:eastAsia="Courier New" w:cs="Courier New"/>
      <w:sz w:val="20"/>
    </w:rPr>
  </w:style>
  <w:style w:type="character" w:styleId="15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6">
    <w:name w:val="bds_more"/>
    <w:basedOn w:val="6"/>
    <w:uiPriority w:val="0"/>
  </w:style>
  <w:style w:type="character" w:customStyle="1" w:styleId="17">
    <w:name w:val="bds_more1"/>
    <w:basedOn w:val="6"/>
    <w:qFormat/>
    <w:uiPriority w:val="0"/>
  </w:style>
  <w:style w:type="character" w:customStyle="1" w:styleId="18">
    <w:name w:val="bds_more2"/>
    <w:basedOn w:val="6"/>
    <w:uiPriority w:val="0"/>
  </w:style>
  <w:style w:type="character" w:customStyle="1" w:styleId="19">
    <w:name w:val="m06"/>
    <w:basedOn w:val="6"/>
    <w:uiPriority w:val="0"/>
  </w:style>
  <w:style w:type="character" w:customStyle="1" w:styleId="20">
    <w:name w:val="m061"/>
    <w:basedOn w:val="6"/>
    <w:qFormat/>
    <w:uiPriority w:val="0"/>
  </w:style>
  <w:style w:type="character" w:customStyle="1" w:styleId="21">
    <w:name w:val="m05"/>
    <w:basedOn w:val="6"/>
    <w:qFormat/>
    <w:uiPriority w:val="0"/>
  </w:style>
  <w:style w:type="character" w:customStyle="1" w:styleId="22">
    <w:name w:val="m02"/>
    <w:basedOn w:val="6"/>
    <w:qFormat/>
    <w:uiPriority w:val="0"/>
  </w:style>
  <w:style w:type="character" w:customStyle="1" w:styleId="23">
    <w:name w:val="m021"/>
    <w:basedOn w:val="6"/>
    <w:uiPriority w:val="0"/>
  </w:style>
  <w:style w:type="character" w:customStyle="1" w:styleId="24">
    <w:name w:val="m03"/>
    <w:basedOn w:val="6"/>
    <w:qFormat/>
    <w:uiPriority w:val="0"/>
  </w:style>
  <w:style w:type="character" w:customStyle="1" w:styleId="25">
    <w:name w:val="m031"/>
    <w:basedOn w:val="6"/>
    <w:uiPriority w:val="0"/>
  </w:style>
  <w:style w:type="character" w:customStyle="1" w:styleId="26">
    <w:name w:val="m04"/>
    <w:basedOn w:val="6"/>
    <w:qFormat/>
    <w:uiPriority w:val="0"/>
  </w:style>
  <w:style w:type="character" w:customStyle="1" w:styleId="27">
    <w:name w:val="m041"/>
    <w:basedOn w:val="6"/>
    <w:qFormat/>
    <w:uiPriority w:val="0"/>
  </w:style>
  <w:style w:type="character" w:customStyle="1" w:styleId="28">
    <w:name w:val="m01"/>
    <w:basedOn w:val="6"/>
    <w:uiPriority w:val="0"/>
  </w:style>
  <w:style w:type="character" w:customStyle="1" w:styleId="29">
    <w:name w:val="bds_nopic"/>
    <w:basedOn w:val="6"/>
    <w:qFormat/>
    <w:uiPriority w:val="0"/>
  </w:style>
  <w:style w:type="character" w:customStyle="1" w:styleId="30">
    <w:name w:val="bds_nopic1"/>
    <w:basedOn w:val="6"/>
    <w:qFormat/>
    <w:uiPriority w:val="0"/>
    <w:rPr>
      <w:color w:val="454545"/>
      <w:sz w:val="21"/>
      <w:szCs w:val="21"/>
    </w:rPr>
  </w:style>
  <w:style w:type="character" w:customStyle="1" w:styleId="31">
    <w:name w:val="on"/>
    <w:basedOn w:val="6"/>
    <w:qFormat/>
    <w:uiPriority w:val="0"/>
  </w:style>
  <w:style w:type="character" w:customStyle="1" w:styleId="32">
    <w:name w:val="current"/>
    <w:basedOn w:val="6"/>
    <w:qFormat/>
    <w:uiPriority w:val="0"/>
    <w:rPr>
      <w:color w:val="FFFFFF"/>
      <w:u w:val="none"/>
      <w:bdr w:val="single" w:color="FB6E52" w:sz="6" w:space="0"/>
      <w:shd w:val="clear" w:fill="FB6E52"/>
    </w:rPr>
  </w:style>
  <w:style w:type="character" w:customStyle="1" w:styleId="33">
    <w:name w:val="current1"/>
    <w:basedOn w:val="6"/>
    <w:qFormat/>
    <w:uiPriority w:val="0"/>
    <w:rPr>
      <w:b/>
      <w:color w:val="FFFFFF"/>
      <w:bdr w:val="single" w:color="D80D00" w:sz="6" w:space="0"/>
      <w:shd w:val="clear" w:fill="D80D00"/>
    </w:rPr>
  </w:style>
  <w:style w:type="character" w:customStyle="1" w:styleId="34">
    <w:name w:val="disabled"/>
    <w:basedOn w:val="6"/>
    <w:qFormat/>
    <w:uiPriority w:val="0"/>
    <w:rPr>
      <w:color w:val="CCCCCC"/>
      <w:bdr w:val="single" w:color="F3F3F3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2020-02-27T03:18:00Z</dcterms:created>
  <dc:creator>詹海量</dc:creator>
  <cp:lastModifiedBy>詹海量</cp:lastModifiedBy>
  <dcterms:modified xsi:type="dcterms:W3CDTF">2020-03-19T01:48:17Z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