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070000" w:fill="auto"/>
        <w:spacing w:beforeLines="50" w:beforeAutospacing="0" w:afterLines="50" w:afterAutospacing="0" w:line="15" w:lineRule="auto"/>
        <w:jc w:val="center"/>
        <w:rPr>
          <w:rFonts w:ascii="仿宋_GB2312" w:hAnsi="Times New Roman" w:eastAsia="仿宋_GB2312" w:cs="仿宋_GB2312"/>
          <w:color w:val="555555"/>
          <w:shd w:val="clear" w:color="080000" w:fill="FFFFFF"/>
        </w:rPr>
      </w:pPr>
      <w:r>
        <w:rPr>
          <w:rFonts w:ascii="仿宋_GB2312" w:hAnsi="Times New Roman" w:eastAsia="仿宋_GB2312" w:cs="仿宋_GB2312"/>
          <w:color w:val="555555"/>
          <w:shd w:val="clear" w:color="080000" w:fill="FFFFFF"/>
        </w:rPr>
        <w:t xml:space="preserve">                      </w:t>
      </w:r>
    </w:p>
    <w:p>
      <w:pPr>
        <w:pStyle w:val="7"/>
        <w:widowControl/>
        <w:shd w:val="clear" w:color="070000" w:fill="auto"/>
        <w:spacing w:beforeLines="50" w:beforeAutospacing="0" w:afterLines="50" w:afterAutospacing="0" w:line="15" w:lineRule="auto"/>
        <w:jc w:val="center"/>
        <w:rPr>
          <w:rFonts w:ascii="仿宋_GB2312" w:hAnsi="Times New Roman" w:eastAsia="仿宋_GB2312" w:cs="仿宋_GB2312"/>
          <w:color w:val="555555"/>
          <w:sz w:val="31"/>
          <w:szCs w:val="31"/>
          <w:shd w:val="clear" w:color="080000" w:fill="FFFFFF"/>
        </w:rPr>
      </w:pPr>
      <w:r>
        <w:rPr>
          <w:rFonts w:ascii="仿宋_GB2312" w:hAnsi="Times New Roman" w:eastAsia="仿宋_GB2312" w:cs="仿宋_GB2312"/>
          <w:color w:val="555555"/>
          <w:sz w:val="31"/>
          <w:szCs w:val="31"/>
          <w:shd w:val="clear" w:color="080000" w:fill="FFFFFF"/>
        </w:rPr>
        <w:t xml:space="preserve">          </w:t>
      </w:r>
    </w:p>
    <w:p>
      <w:pPr>
        <w:pStyle w:val="7"/>
        <w:widowControl/>
        <w:shd w:val="clear" w:color="070000" w:fill="auto"/>
        <w:spacing w:beforeLines="50" w:beforeAutospacing="0" w:afterLines="50" w:afterAutospacing="0" w:line="40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Times New Roman" w:eastAsia="仿宋_GB2312" w:cs="仿宋_GB2312"/>
          <w:color w:val="555555"/>
          <w:sz w:val="31"/>
          <w:szCs w:val="31"/>
          <w:shd w:val="clear" w:color="080000" w:fill="FFFFFF"/>
        </w:rPr>
        <w:t xml:space="preserve"> 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            </w:t>
      </w:r>
    </w:p>
    <w:p>
      <w:pPr>
        <w:pStyle w:val="7"/>
        <w:widowControl/>
        <w:shd w:val="clear" w:color="070000" w:fill="auto"/>
        <w:spacing w:beforeLines="50" w:beforeAutospacing="0" w:afterLines="50" w:afterAutospacing="0" w:line="15" w:lineRule="auto"/>
        <w:ind w:firstLine="3840" w:firstLineChars="1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忻神分局环评函〔</w:t>
      </w:r>
      <w:r>
        <w:rPr>
          <w:rFonts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ascii="仿宋" w:hAnsi="仿宋" w:eastAsia="仿宋" w:cs="仿宋"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</w:p>
    <w:p>
      <w:pPr>
        <w:pStyle w:val="7"/>
        <w:widowControl/>
        <w:shd w:val="clear" w:color="070000" w:fill="auto"/>
        <w:spacing w:beforeLines="50" w:beforeAutospacing="0" w:afterLines="50" w:afterAutospacing="0" w:line="15" w:lineRule="auto"/>
        <w:jc w:val="both"/>
        <w:rPr>
          <w:rFonts w:ascii="仿宋_GB2312" w:hAnsi="Times New Roman" w:eastAsia="仿宋_GB2312" w:cs="仿宋_GB2312"/>
          <w:color w:val="555555"/>
          <w:sz w:val="31"/>
          <w:szCs w:val="31"/>
        </w:rPr>
      </w:pPr>
    </w:p>
    <w:p>
      <w:pPr>
        <w:pStyle w:val="7"/>
        <w:widowControl/>
        <w:spacing w:beforeAutospacing="0" w:afterAutospacing="0" w:line="360" w:lineRule="auto"/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</w:rPr>
      </w:pPr>
      <w:r>
        <w:rPr>
          <w:rFonts w:hint="eastAsia" w:ascii="仿宋" w:hAnsi="仿宋" w:eastAsia="仿宋" w:cs="仿宋"/>
          <w:b w:val="0"/>
          <w:bCs w:val="0"/>
          <w:sz w:val="40"/>
          <w:szCs w:val="40"/>
        </w:rPr>
        <w:t>神池县春天华宇建筑工程有限公司</w:t>
      </w:r>
    </w:p>
    <w:p>
      <w:pPr>
        <w:pStyle w:val="7"/>
        <w:widowControl/>
        <w:spacing w:beforeAutospacing="0" w:afterAutospacing="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40"/>
          <w:szCs w:val="40"/>
        </w:rPr>
        <w:t>沥青搅拌站项目</w:t>
      </w:r>
      <w:r>
        <w:rPr>
          <w:rFonts w:hint="eastAsia" w:ascii="仿宋" w:hAnsi="仿宋" w:eastAsia="仿宋" w:cs="仿宋"/>
          <w:b w:val="0"/>
          <w:bCs w:val="0"/>
          <w:color w:val="555555"/>
          <w:sz w:val="40"/>
          <w:szCs w:val="40"/>
        </w:rPr>
        <w:t>环境影响报告表的批复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Times New Roman" w:hAnsi="Times New Roman" w:cs="Times New Roman"/>
          <w:sz w:val="30"/>
          <w:szCs w:val="30"/>
        </w:rPr>
        <w:t>神</w:t>
      </w:r>
      <w:r>
        <w:rPr>
          <w:rFonts w:hint="eastAsia" w:ascii="仿宋" w:hAnsi="仿宋" w:eastAsia="仿宋" w:cs="仿宋"/>
          <w:sz w:val="32"/>
          <w:szCs w:val="32"/>
        </w:rPr>
        <w:t>池县春天华宇建筑工程有限公司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pStyle w:val="7"/>
        <w:widowControl/>
        <w:spacing w:beforeAutospacing="0" w:afterAutospacing="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你公司委托山西景源程环保科技有限公司</w:t>
      </w:r>
      <w:r>
        <w:rPr>
          <w:rFonts w:hint="eastAsia" w:ascii="仿宋" w:hAnsi="仿宋" w:eastAsia="仿宋" w:cs="仿宋"/>
          <w:sz w:val="32"/>
          <w:szCs w:val="32"/>
        </w:rPr>
        <w:t>编制的《神池县春天华宇建筑工程有限公司沥青搅拌站项目</w:t>
      </w:r>
      <w:r>
        <w:rPr>
          <w:rFonts w:hint="eastAsia" w:ascii="仿宋" w:hAnsi="仿宋" w:eastAsia="仿宋" w:cs="仿宋"/>
          <w:sz w:val="32"/>
          <w:szCs w:val="32"/>
        </w:rPr>
        <w:t>》环境影响报告表（报批版）（以下简称《报告表》）收悉。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依据审查会形成的专家审查意见，</w:t>
      </w:r>
      <w:r>
        <w:rPr>
          <w:rFonts w:hint="eastAsia" w:ascii="仿宋" w:hAnsi="仿宋" w:eastAsia="仿宋" w:cs="仿宋"/>
          <w:sz w:val="32"/>
          <w:szCs w:val="32"/>
        </w:rPr>
        <w:t>我分局原则同意报告表所列建设项目的性质、规模、地点和环境保护措施。现批复如下：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项目位于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忻州市神池县义井镇大黑庄村东北230米处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年产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10万吨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沥青混合料搅拌站生产系统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主要原辅材料为沥青、石料、矿粉等，燃料为轻质柴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油。</w:t>
      </w:r>
      <w:r>
        <w:rPr>
          <w:rFonts w:hint="eastAsia" w:ascii="仿宋" w:hAnsi="仿宋" w:eastAsia="仿宋" w:cs="仿宋"/>
          <w:sz w:val="32"/>
          <w:szCs w:val="32"/>
        </w:rPr>
        <w:t>项目总占地面积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10600</w:t>
      </w:r>
      <w:r>
        <w:rPr>
          <w:rFonts w:hint="eastAsia" w:ascii="仿宋" w:hAnsi="仿宋" w:eastAsia="仿宋" w:cs="仿宋"/>
          <w:sz w:val="32"/>
          <w:szCs w:val="32"/>
        </w:rPr>
        <w:t>平方米，总投资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万元，其中环保投资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.2020年6月15日我分局依据《中华人民共和国环境影响评价法》第三十一条的规定给予</w:t>
      </w:r>
      <w:r>
        <w:rPr>
          <w:rFonts w:hint="eastAsia" w:ascii="仿宋" w:hAnsi="仿宋" w:eastAsia="仿宋" w:cs="仿宋"/>
          <w:sz w:val="32"/>
          <w:szCs w:val="32"/>
        </w:rPr>
        <w:t>神池县春天华宇建筑工程有限公司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行政处罚（神环罚【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2020003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pStyle w:val="7"/>
        <w:widowControl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二、项目建设及运行中应全面落实《报告表》提出的各项环境保护措施，并重点做好以下工作：</w:t>
      </w:r>
    </w:p>
    <w:p>
      <w:pPr>
        <w:pStyle w:val="3"/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设封闭式石料储棚，地面硬化，设置喷淋措施，定期洒水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石料采用封闭式皮带输送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进厂道路硬化，配备洒水车，定期清扫洒水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.</w:t>
      </w:r>
    </w:p>
    <w:p>
      <w:pPr>
        <w:pStyle w:val="3"/>
        <w:widowControl/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设置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集气罩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喷淋冷却过滤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旋风除雾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活性炭吸附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脉冲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布袋除尘器除尘后，再通</w:t>
      </w:r>
      <w:r>
        <w:rPr>
          <w:rFonts w:hint="eastAsia" w:ascii="仿宋" w:hAnsi="仿宋" w:eastAsia="仿宋" w:cs="仿宋"/>
          <w:bCs/>
          <w:sz w:val="32"/>
          <w:szCs w:val="32"/>
        </w:rPr>
        <w:t>过活性炭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处理后进入高排气筒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进行废气处理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.</w:t>
      </w:r>
    </w:p>
    <w:p>
      <w:pPr>
        <w:pStyle w:val="3"/>
        <w:widowControl/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、各生产设备采取隔声、减震消声降噪措施。</w:t>
      </w:r>
    </w:p>
    <w:p>
      <w:pPr>
        <w:pStyle w:val="3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办公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生活垃圾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集中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收集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合理处置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振拌合仓产生的拌合残渣、洗车平台沉渣以及除尘集灰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不得随意倾倒，</w:t>
      </w:r>
      <w:r>
        <w:rPr>
          <w:rFonts w:hint="eastAsia" w:ascii="仿宋" w:hAnsi="仿宋" w:eastAsia="仿宋" w:cs="仿宋"/>
          <w:sz w:val="32"/>
          <w:szCs w:val="32"/>
        </w:rPr>
        <w:t>全部回用于生产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。设置围堰、危废暂存间和事故油池，防止土壤和地下水污染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,确保环境安全。</w:t>
      </w:r>
    </w:p>
    <w:p>
      <w:pPr>
        <w:pStyle w:val="3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5、设置沉淀池和雨水收集池用于废水回用，不得外排。</w:t>
      </w:r>
    </w:p>
    <w:p>
      <w:pPr>
        <w:pStyle w:val="3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、加强厂区周边绿化措施，达到吸声降噪、美化厂容。</w:t>
      </w:r>
    </w:p>
    <w:p>
      <w:pPr>
        <w:pStyle w:val="3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三、加强项目规范化管理。项目设置专门的环保管理工作机构，配备专职管理人员，制定各项环保规章制度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和环境信息公开制度，</w:t>
      </w:r>
      <w:r>
        <w:rPr>
          <w:rFonts w:hint="eastAsia" w:ascii="仿宋" w:hAnsi="仿宋" w:eastAsia="仿宋" w:cs="仿宋"/>
          <w:sz w:val="32"/>
          <w:szCs w:val="32"/>
        </w:rPr>
        <w:t>将环保纳入日常生产生活中，最大限度地减少资源浪费和环境污染。加强风险管理，完善项目风险防范制度和措施。</w:t>
      </w:r>
    </w:p>
    <w:p>
      <w:pPr>
        <w:spacing w:line="600" w:lineRule="exact"/>
        <w:ind w:right="26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建设必须严格执行环境保护设施与主体工程“同时设计、同时施工、同时投入使用”的环境保护“三同时”制度，确保环保设施与主体工程同时投入使用，应制定规范有效的环境风险应急预案，确保环境安全。项目投入使用后建设单位必须按规定验收，验收合格后方可正式投入运营。施工期、运营期应配合忻州市生态环境局神池县分局的监管工作。</w:t>
      </w: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五、项目的性质、规模、地点、采用的防治污染、防治生态破坏的措施发生重大变动的，应当重新报批项目的环境影响评价文件。                   </w:t>
      </w: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pStyle w:val="7"/>
        <w:widowControl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（借    </w:t>
      </w:r>
      <w:r>
        <w:rPr>
          <w:rFonts w:hint="eastAsia" w:ascii="仿宋" w:hAnsi="仿宋" w:eastAsia="仿宋" w:cs="仿宋"/>
          <w:sz w:val="32"/>
          <w:szCs w:val="32"/>
        </w:rPr>
        <w:t>章）</w:t>
      </w:r>
    </w:p>
    <w:p>
      <w:pPr>
        <w:pStyle w:val="7"/>
        <w:widowControl/>
        <w:spacing w:beforeAutospacing="0" w:afterAutospacing="0"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</w:p>
    <w:p>
      <w:pPr>
        <w:pBdr>
          <w:between w:val="single" w:color="auto" w:sz="4" w:space="0"/>
        </w:pBd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抄送：分局办公室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项目管理股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山西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景源程</w:t>
      </w:r>
      <w:r>
        <w:rPr>
          <w:rFonts w:hint="eastAsia" w:ascii="仿宋" w:hAnsi="仿宋" w:eastAsia="仿宋" w:cs="仿宋_GB2312"/>
          <w:sz w:val="32"/>
          <w:szCs w:val="32"/>
        </w:rPr>
        <w:t>环保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科技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3B6D1F"/>
    <w:rsid w:val="0036251B"/>
    <w:rsid w:val="003C70E4"/>
    <w:rsid w:val="00432C93"/>
    <w:rsid w:val="0063297F"/>
    <w:rsid w:val="00655D60"/>
    <w:rsid w:val="00823775"/>
    <w:rsid w:val="009370C2"/>
    <w:rsid w:val="00A56718"/>
    <w:rsid w:val="00C32C14"/>
    <w:rsid w:val="00C80F3D"/>
    <w:rsid w:val="00D05B24"/>
    <w:rsid w:val="00D266D1"/>
    <w:rsid w:val="00DE79CA"/>
    <w:rsid w:val="00E97494"/>
    <w:rsid w:val="00F32C02"/>
    <w:rsid w:val="015C295A"/>
    <w:rsid w:val="0878099E"/>
    <w:rsid w:val="0B2E5D79"/>
    <w:rsid w:val="0BBE1B0F"/>
    <w:rsid w:val="0D1A54FC"/>
    <w:rsid w:val="102834B4"/>
    <w:rsid w:val="10326876"/>
    <w:rsid w:val="12C32C48"/>
    <w:rsid w:val="1AA55CE7"/>
    <w:rsid w:val="1B7D3FE2"/>
    <w:rsid w:val="1F6C5586"/>
    <w:rsid w:val="20F90533"/>
    <w:rsid w:val="253A065D"/>
    <w:rsid w:val="25C33AAD"/>
    <w:rsid w:val="263B6D1F"/>
    <w:rsid w:val="2C8256D7"/>
    <w:rsid w:val="2D006527"/>
    <w:rsid w:val="39946A94"/>
    <w:rsid w:val="3B3C0697"/>
    <w:rsid w:val="3B8C777D"/>
    <w:rsid w:val="3F1E3FBF"/>
    <w:rsid w:val="40A204C8"/>
    <w:rsid w:val="40CE097B"/>
    <w:rsid w:val="442C3BC9"/>
    <w:rsid w:val="46503D82"/>
    <w:rsid w:val="47D32221"/>
    <w:rsid w:val="485B4A4D"/>
    <w:rsid w:val="48CD42AF"/>
    <w:rsid w:val="493F106C"/>
    <w:rsid w:val="4B3B5305"/>
    <w:rsid w:val="4E0271A5"/>
    <w:rsid w:val="4E9977D5"/>
    <w:rsid w:val="51665F69"/>
    <w:rsid w:val="54181C90"/>
    <w:rsid w:val="58972F70"/>
    <w:rsid w:val="59570C00"/>
    <w:rsid w:val="5ABA0C34"/>
    <w:rsid w:val="5B0B5442"/>
    <w:rsid w:val="5CB26CFD"/>
    <w:rsid w:val="60B160F4"/>
    <w:rsid w:val="6BFC7694"/>
    <w:rsid w:val="73E349AD"/>
    <w:rsid w:val="74DB6B52"/>
    <w:rsid w:val="76921AFE"/>
    <w:rsid w:val="77BA1779"/>
    <w:rsid w:val="7A071D9D"/>
    <w:rsid w:val="7B0D5551"/>
    <w:rsid w:val="7BA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0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 w:locked="1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Calibri" w:hAnsi="Calibri" w:cs="黑体"/>
      <w:sz w:val="2"/>
    </w:rPr>
  </w:style>
  <w:style w:type="paragraph" w:customStyle="1" w:styleId="7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070;&#27744;&#21439;&#26187;&#40857;&#30719;&#19994;&#26377;&#38480;&#36131;&#20219;&#20844;&#21496;&#29028;&#27877;&#28888;&#24178;&#24314;&#35774;&#39033;&#30446;&#29615;&#35780;&#25209;&#2279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神池县晋龙矿业有限责任公司煤泥烘干建设项目环评批复</Template>
  <Pages>3</Pages>
  <Words>172</Words>
  <Characters>985</Characters>
  <Lines>0</Lines>
  <Paragraphs>0</Paragraphs>
  <TotalTime>37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2020-09-04T02:04:00Z</dcterms:created>
  <dc:creator></dc:creator>
  <cp:lastModifiedBy>Administrator</cp:lastModifiedBy>
  <cp:lastPrinted>2020-12-23T02:40:00Z</cp:lastPrinted>
  <dcterms:modified xsi:type="dcterms:W3CDTF">2021-04-15T07:57:14Z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