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神池县义井镇人民政府行政执法事项清单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right="133"/>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right="160" w:hanging="105"/>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59" w:type="dxa"/>
            <w:noWrap w:val="0"/>
            <w:vAlign w:val="top"/>
          </w:tcPr>
          <w:p>
            <w:pPr>
              <w:spacing w:line="339" w:lineRule="auto"/>
              <w:jc w:val="center"/>
              <w:rPr>
                <w:rFonts w:ascii="Arial"/>
                <w:sz w:val="21"/>
              </w:rPr>
            </w:pPr>
          </w:p>
          <w:p>
            <w:pPr>
              <w:spacing w:before="68" w:line="184"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right="31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52" w:lineRule="auto"/>
              <w:jc w:val="center"/>
              <w:rPr>
                <w:rFonts w:ascii="Arial"/>
                <w:sz w:val="21"/>
              </w:rPr>
            </w:pPr>
          </w:p>
          <w:p>
            <w:pPr>
              <w:spacing w:before="68" w:line="183"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right="133"/>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74"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0</w:t>
            </w:r>
          </w:p>
        </w:tc>
        <w:tc>
          <w:tcPr>
            <w:tcW w:w="5025" w:type="dxa"/>
            <w:noWrap w:val="0"/>
            <w:vAlign w:val="top"/>
          </w:tcPr>
          <w:p>
            <w:pPr>
              <w:spacing w:before="157" w:line="244" w:lineRule="auto"/>
              <w:ind w:left="60" w:leftChars="0" w:right="147" w:rightChars="0"/>
              <w:rPr>
                <w:rFonts w:ascii="宋体" w:hAnsi="宋体" w:eastAsia="宋体" w:cs="宋体"/>
                <w:spacing w:val="-1"/>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pacing w:val="4"/>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94"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pacing w:val="-1"/>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pacing w:val="-1"/>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pacing w:val="4"/>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1"/>
                <w:sz w:val="21"/>
                <w:szCs w:val="21"/>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4"/>
                <w:sz w:val="21"/>
                <w:szCs w:val="21"/>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3985" w:type="dxa"/>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5025"/>
        <w:gridCol w:w="1188"/>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735" w:type="dxa"/>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noWrap w:val="0"/>
            <w:vAlign w:val="top"/>
          </w:tcPr>
          <w:p>
            <w:pPr>
              <w:spacing w:before="164" w:line="236" w:lineRule="auto"/>
              <w:ind w:left="60" w:leftChars="0" w:right="65" w:rightChars="0"/>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noWrap w:val="0"/>
            <w:vAlign w:val="top"/>
          </w:tcPr>
          <w:p>
            <w:pPr>
              <w:spacing w:line="476" w:lineRule="auto"/>
              <w:rPr>
                <w:rFonts w:ascii="Arial"/>
                <w:sz w:val="21"/>
              </w:rPr>
            </w:pPr>
          </w:p>
          <w:p>
            <w:pPr>
              <w:spacing w:before="65"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7" w:lineRule="auto"/>
              <w:rPr>
                <w:rFonts w:ascii="Arial"/>
                <w:sz w:val="21"/>
              </w:rPr>
            </w:pPr>
          </w:p>
          <w:p>
            <w:pPr>
              <w:spacing w:line="298"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35" w:type="dxa"/>
            <w:noWrap w:val="0"/>
            <w:vAlign w:val="top"/>
          </w:tcPr>
          <w:p>
            <w:pPr>
              <w:spacing w:before="247"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27</w:t>
            </w:r>
          </w:p>
        </w:tc>
        <w:tc>
          <w:tcPr>
            <w:tcW w:w="5025" w:type="dxa"/>
            <w:noWrap w:val="0"/>
            <w:vAlign w:val="top"/>
          </w:tcPr>
          <w:p>
            <w:pPr>
              <w:spacing w:before="196" w:line="220" w:lineRule="auto"/>
              <w:ind w:left="60" w:leftChars="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noWrap w:val="0"/>
            <w:vAlign w:val="top"/>
          </w:tcPr>
          <w:p>
            <w:pPr>
              <w:spacing w:before="97" w:line="218"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96"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35" w:type="dxa"/>
            <w:noWrap w:val="0"/>
            <w:vAlign w:val="top"/>
          </w:tcPr>
          <w:p>
            <w:pPr>
              <w:spacing w:before="296"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28</w:t>
            </w:r>
          </w:p>
        </w:tc>
        <w:tc>
          <w:tcPr>
            <w:tcW w:w="5025" w:type="dxa"/>
            <w:noWrap w:val="0"/>
            <w:vAlign w:val="top"/>
          </w:tcPr>
          <w:p>
            <w:pPr>
              <w:spacing w:before="124" w:line="231" w:lineRule="auto"/>
              <w:ind w:left="60" w:leftChars="0" w:right="160" w:rightChars="0"/>
              <w:rPr>
                <w:rFonts w:ascii="宋体" w:hAnsi="宋体" w:eastAsia="宋体" w:cs="宋体"/>
                <w:sz w:val="19"/>
                <w:szCs w:val="19"/>
              </w:rPr>
            </w:pPr>
            <w:r>
              <w:rPr>
                <w:rFonts w:ascii="宋体" w:hAnsi="宋体" w:eastAsia="宋体" w:cs="宋体"/>
                <w:spacing w:val="7"/>
                <w:sz w:val="20"/>
                <w:szCs w:val="20"/>
              </w:rPr>
              <w:t>对未经批准私自采集或者采伐国家重点保护的天然种质资源的行为的处罚</w:t>
            </w:r>
          </w:p>
        </w:tc>
        <w:tc>
          <w:tcPr>
            <w:tcW w:w="1188" w:type="dxa"/>
            <w:noWrap w:val="0"/>
            <w:vAlign w:val="top"/>
          </w:tcPr>
          <w:p>
            <w:pPr>
              <w:spacing w:before="126"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46"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35" w:type="dxa"/>
            <w:noWrap w:val="0"/>
            <w:vAlign w:val="top"/>
          </w:tcPr>
          <w:p>
            <w:pPr>
              <w:spacing w:line="311"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29</w:t>
            </w:r>
          </w:p>
        </w:tc>
        <w:tc>
          <w:tcPr>
            <w:tcW w:w="5025" w:type="dxa"/>
            <w:noWrap w:val="0"/>
            <w:vAlign w:val="top"/>
          </w:tcPr>
          <w:p>
            <w:pPr>
              <w:spacing w:before="207" w:line="230" w:lineRule="auto"/>
              <w:ind w:left="60" w:leftChars="0" w:right="102" w:rightChars="0"/>
              <w:rPr>
                <w:rFonts w:ascii="宋体" w:hAnsi="宋体" w:eastAsia="宋体" w:cs="宋体"/>
                <w:sz w:val="20"/>
                <w:szCs w:val="20"/>
              </w:rPr>
            </w:pPr>
            <w:r>
              <w:rPr>
                <w:rFonts w:ascii="宋体" w:hAnsi="宋体" w:eastAsia="宋体" w:cs="宋体"/>
                <w:spacing w:val="10"/>
                <w:sz w:val="20"/>
                <w:szCs w:val="20"/>
              </w:rPr>
              <w:t>对互联网上网服务营业场所、娱乐场所在规定</w:t>
            </w:r>
            <w:r>
              <w:rPr>
                <w:rFonts w:ascii="宋体" w:hAnsi="宋体" w:eastAsia="宋体" w:cs="宋体"/>
                <w:spacing w:val="6"/>
                <w:sz w:val="20"/>
                <w:szCs w:val="20"/>
              </w:rPr>
              <w:t>的营业时间以外营业的行为的处罚</w:t>
            </w:r>
          </w:p>
        </w:tc>
        <w:tc>
          <w:tcPr>
            <w:tcW w:w="1188" w:type="dxa"/>
            <w:noWrap w:val="0"/>
            <w:vAlign w:val="top"/>
          </w:tcPr>
          <w:p>
            <w:pPr>
              <w:spacing w:before="228" w:line="22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7" w:line="229" w:lineRule="auto"/>
              <w:ind w:left="173" w:leftChars="0" w:right="141" w:rightChars="0" w:hanging="119" w:firstLineChars="0"/>
              <w:rPr>
                <w:rFonts w:ascii="宋体" w:hAnsi="宋体" w:eastAsia="宋体" w:cs="宋体"/>
                <w:sz w:val="20"/>
                <w:szCs w:val="20"/>
              </w:rPr>
            </w:pPr>
            <w:r>
              <w:rPr>
                <w:rFonts w:ascii="宋体" w:hAnsi="宋体" w:eastAsia="宋体" w:cs="宋体"/>
                <w:spacing w:val="16"/>
                <w:sz w:val="20"/>
                <w:szCs w:val="20"/>
              </w:rPr>
              <w:t>《互联网上网服务营业场所管理条例》(国务院令第363号)第三十一条</w:t>
            </w:r>
            <w:r>
              <w:rPr>
                <w:rFonts w:ascii="宋体" w:hAnsi="宋体" w:eastAsia="宋体" w:cs="宋体"/>
                <w:sz w:val="20"/>
                <w:szCs w:val="20"/>
              </w:rPr>
              <w:t xml:space="preserve"> </w:t>
            </w:r>
            <w:r>
              <w:rPr>
                <w:rFonts w:ascii="宋体" w:hAnsi="宋体" w:eastAsia="宋体" w:cs="宋体"/>
                <w:spacing w:val="17"/>
                <w:sz w:val="20"/>
                <w:szCs w:val="20"/>
              </w:rPr>
              <w:t>《娱乐场所管理条例》(国务院令第458号)第四十九条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5" w:type="dxa"/>
            <w:noWrap w:val="0"/>
            <w:vAlign w:val="top"/>
          </w:tcPr>
          <w:p>
            <w:pPr>
              <w:spacing w:line="383"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0</w:t>
            </w:r>
          </w:p>
        </w:tc>
        <w:tc>
          <w:tcPr>
            <w:tcW w:w="5025" w:type="dxa"/>
            <w:noWrap w:val="0"/>
            <w:vAlign w:val="top"/>
          </w:tcPr>
          <w:p>
            <w:pPr>
              <w:spacing w:before="309" w:line="224" w:lineRule="auto"/>
              <w:ind w:left="60" w:leftChars="0" w:right="123" w:rightChars="0"/>
              <w:rPr>
                <w:rFonts w:ascii="宋体" w:hAnsi="宋体" w:eastAsia="宋体" w:cs="宋体"/>
                <w:sz w:val="20"/>
                <w:szCs w:val="20"/>
              </w:rPr>
            </w:pPr>
            <w:r>
              <w:rPr>
                <w:rFonts w:ascii="宋体" w:hAnsi="宋体" w:eastAsia="宋体" w:cs="宋体"/>
                <w:spacing w:val="-1"/>
                <w:sz w:val="21"/>
                <w:szCs w:val="21"/>
              </w:rPr>
              <w:t>对互联网上网服务营业场所、娱乐场所未按规</w:t>
            </w:r>
            <w:r>
              <w:rPr>
                <w:rFonts w:ascii="宋体" w:hAnsi="宋体" w:eastAsia="宋体" w:cs="宋体"/>
                <w:spacing w:val="1"/>
                <w:sz w:val="21"/>
                <w:szCs w:val="21"/>
              </w:rPr>
              <w:t>定接纳未成年人进入营业场所的行为的处罚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98" w:line="228" w:lineRule="auto"/>
              <w:ind w:left="39" w:leftChars="0" w:right="140" w:rightChars="0"/>
              <w:rPr>
                <w:rFonts w:ascii="宋体" w:hAnsi="宋体" w:eastAsia="宋体" w:cs="宋体"/>
                <w:sz w:val="20"/>
                <w:szCs w:val="20"/>
              </w:rPr>
            </w:pPr>
            <w:r>
              <w:rPr>
                <w:rFonts w:ascii="宋体" w:hAnsi="宋体" w:eastAsia="宋体" w:cs="宋体"/>
                <w:spacing w:val="7"/>
                <w:sz w:val="21"/>
                <w:szCs w:val="21"/>
              </w:rPr>
              <w:t>《互联网上网服务营业场所管理条例》(国务院令第363号)第三十</w:t>
            </w:r>
            <w:r>
              <w:rPr>
                <w:rFonts w:ascii="宋体" w:hAnsi="宋体" w:eastAsia="宋体" w:cs="宋体"/>
                <w:spacing w:val="6"/>
                <w:sz w:val="21"/>
                <w:szCs w:val="21"/>
              </w:rPr>
              <w:t>一条</w:t>
            </w:r>
            <w:r>
              <w:rPr>
                <w:rFonts w:ascii="宋体" w:hAnsi="宋体" w:eastAsia="宋体" w:cs="宋体"/>
                <w:sz w:val="21"/>
                <w:szCs w:val="21"/>
              </w:rPr>
              <w:t xml:space="preserve"> </w:t>
            </w:r>
            <w:r>
              <w:rPr>
                <w:rFonts w:ascii="宋体" w:hAnsi="宋体" w:eastAsia="宋体" w:cs="宋体"/>
                <w:spacing w:val="9"/>
                <w:sz w:val="21"/>
                <w:szCs w:val="21"/>
              </w:rPr>
              <w:t>《娱乐场所管理条例》(国务院令第458号)</w:t>
            </w:r>
            <w:r>
              <w:rPr>
                <w:rFonts w:ascii="宋体" w:hAnsi="宋体" w:eastAsia="宋体" w:cs="宋体"/>
                <w:spacing w:val="8"/>
                <w:sz w:val="21"/>
                <w:szCs w:val="21"/>
              </w:rPr>
              <w:t>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5" w:type="dxa"/>
            <w:noWrap w:val="0"/>
            <w:vAlign w:val="top"/>
          </w:tcPr>
          <w:p>
            <w:pPr>
              <w:spacing w:line="414"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1</w:t>
            </w:r>
          </w:p>
        </w:tc>
        <w:tc>
          <w:tcPr>
            <w:tcW w:w="5025" w:type="dxa"/>
            <w:noWrap w:val="0"/>
            <w:vAlign w:val="top"/>
          </w:tcPr>
          <w:p>
            <w:pPr>
              <w:spacing w:before="209" w:line="220" w:lineRule="auto"/>
              <w:ind w:left="60" w:leftChars="0" w:right="99" w:rightChars="0"/>
              <w:jc w:val="both"/>
              <w:rPr>
                <w:rFonts w:ascii="宋体" w:hAnsi="宋体" w:eastAsia="宋体" w:cs="宋体"/>
                <w:sz w:val="20"/>
                <w:szCs w:val="20"/>
              </w:rPr>
            </w:pPr>
            <w:r>
              <w:rPr>
                <w:rFonts w:ascii="宋体" w:hAnsi="宋体" w:eastAsia="宋体" w:cs="宋体"/>
                <w:spacing w:val="-1"/>
                <w:sz w:val="21"/>
                <w:szCs w:val="21"/>
              </w:rPr>
              <w:t>对互联网上网服务营业场所未悬挂《网络文化</w:t>
            </w:r>
            <w:r>
              <w:rPr>
                <w:rFonts w:ascii="宋体" w:hAnsi="宋体" w:eastAsia="宋体" w:cs="宋体"/>
                <w:sz w:val="21"/>
                <w:szCs w:val="21"/>
              </w:rPr>
              <w:t>经营许可证》或者未成年人禁入标志的行为的</w:t>
            </w:r>
            <w:r>
              <w:rPr>
                <w:rFonts w:ascii="宋体" w:hAnsi="宋体" w:eastAsia="宋体" w:cs="宋体"/>
                <w:spacing w:val="12"/>
                <w:sz w:val="21"/>
                <w:szCs w:val="21"/>
              </w:rPr>
              <w:t>处罚</w:t>
            </w:r>
          </w:p>
        </w:tc>
        <w:tc>
          <w:tcPr>
            <w:tcW w:w="1188"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58" w:lineRule="auto"/>
              <w:rPr>
                <w:rFonts w:ascii="Arial"/>
                <w:sz w:val="21"/>
              </w:rPr>
            </w:pPr>
          </w:p>
          <w:p>
            <w:pPr>
              <w:spacing w:before="69" w:line="219" w:lineRule="auto"/>
              <w:ind w:left="39" w:leftChars="0"/>
              <w:rPr>
                <w:rFonts w:ascii="宋体" w:hAnsi="宋体" w:eastAsia="宋体" w:cs="宋体"/>
                <w:sz w:val="20"/>
                <w:szCs w:val="20"/>
              </w:rPr>
            </w:pPr>
            <w:r>
              <w:rPr>
                <w:rFonts w:ascii="宋体" w:hAnsi="宋体" w:eastAsia="宋体" w:cs="宋体"/>
                <w:spacing w:val="7"/>
                <w:sz w:val="21"/>
                <w:szCs w:val="21"/>
              </w:rPr>
              <w:t>《互联网上网服务营业场所管理条例》(国务院令第363号)第三十一条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735" w:type="dxa"/>
            <w:noWrap w:val="0"/>
            <w:vAlign w:val="top"/>
          </w:tcPr>
          <w:p>
            <w:pPr>
              <w:spacing w:line="246"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noWrap w:val="0"/>
            <w:vAlign w:val="top"/>
          </w:tcPr>
          <w:p>
            <w:pPr>
              <w:spacing w:before="141" w:line="224" w:lineRule="auto"/>
              <w:ind w:left="60" w:leftChars="0" w:right="123" w:rightChars="0"/>
              <w:rPr>
                <w:rFonts w:ascii="宋体" w:hAnsi="宋体" w:eastAsia="宋体" w:cs="宋体"/>
                <w:sz w:val="20"/>
                <w:szCs w:val="20"/>
              </w:rPr>
            </w:pPr>
            <w:r>
              <w:rPr>
                <w:rFonts w:ascii="宋体" w:hAnsi="宋体" w:eastAsia="宋体" w:cs="宋体"/>
                <w:spacing w:val="-1"/>
                <w:sz w:val="21"/>
                <w:szCs w:val="21"/>
              </w:rPr>
              <w:t>对娱乐场所未按照规定悬挂警示标志、未成年</w:t>
            </w:r>
            <w:r>
              <w:rPr>
                <w:rFonts w:ascii="宋体" w:hAnsi="宋体" w:eastAsia="宋体" w:cs="宋体"/>
                <w:spacing w:val="1"/>
                <w:sz w:val="21"/>
                <w:szCs w:val="21"/>
              </w:rPr>
              <w:t>人禁入或者限入标志的行为的处罚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0" w:line="219" w:lineRule="auto"/>
              <w:ind w:left="39" w:leftChars="0"/>
              <w:rPr>
                <w:rFonts w:ascii="宋体" w:hAnsi="宋体" w:eastAsia="宋体" w:cs="宋体"/>
                <w:sz w:val="20"/>
                <w:szCs w:val="20"/>
              </w:rPr>
            </w:pPr>
            <w:r>
              <w:rPr>
                <w:rFonts w:ascii="宋体" w:hAnsi="宋体" w:eastAsia="宋体" w:cs="宋体"/>
                <w:spacing w:val="9"/>
                <w:sz w:val="21"/>
                <w:szCs w:val="21"/>
              </w:rPr>
              <w:t>《娱乐场所管理条例》(国务院令第458号</w:t>
            </w:r>
            <w:r>
              <w:rPr>
                <w:rFonts w:ascii="宋体" w:hAnsi="宋体" w:eastAsia="宋体" w:cs="宋体"/>
                <w:spacing w:val="8"/>
                <w:sz w:val="21"/>
                <w:szCs w:val="21"/>
              </w:rPr>
              <w:t>)第五十一条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5" w:type="dxa"/>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default"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3</w:t>
            </w:r>
          </w:p>
        </w:tc>
        <w:tc>
          <w:tcPr>
            <w:tcW w:w="5025" w:type="dxa"/>
            <w:noWrap w:val="0"/>
            <w:vAlign w:val="top"/>
          </w:tcPr>
          <w:p>
            <w:pPr>
              <w:spacing w:before="212" w:line="231" w:lineRule="auto"/>
              <w:ind w:left="60" w:leftChars="0" w:right="74" w:rightChars="0"/>
              <w:jc w:val="both"/>
              <w:rPr>
                <w:rFonts w:ascii="宋体" w:hAnsi="宋体" w:eastAsia="宋体" w:cs="宋体"/>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line="456" w:lineRule="auto"/>
              <w:jc w:val="center"/>
              <w:rPr>
                <w:rFonts w:ascii="Arial"/>
                <w:sz w:val="21"/>
              </w:rPr>
            </w:pPr>
          </w:p>
          <w:p>
            <w:pPr>
              <w:spacing w:before="69" w:line="183" w:lineRule="auto"/>
              <w:jc w:val="center"/>
              <w:rPr>
                <w:rFonts w:hint="default"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4</w:t>
            </w:r>
          </w:p>
        </w:tc>
        <w:tc>
          <w:tcPr>
            <w:tcW w:w="5025" w:type="dxa"/>
            <w:noWrap w:val="0"/>
            <w:vAlign w:val="top"/>
          </w:tcPr>
          <w:p>
            <w:pPr>
              <w:spacing w:before="232" w:line="220" w:lineRule="auto"/>
              <w:ind w:left="60" w:leftChars="0" w:right="90" w:rightChars="0"/>
              <w:jc w:val="both"/>
              <w:rPr>
                <w:rFonts w:ascii="宋体" w:hAnsi="宋体" w:eastAsia="宋体" w:cs="宋体"/>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bl>
    <w:p>
      <w:pPr>
        <w:rPr>
          <w:rFonts w:ascii="Arial"/>
          <w:sz w:val="21"/>
        </w:rPr>
      </w:pPr>
    </w:p>
    <w:p>
      <w:pPr>
        <w:sectPr>
          <w:pgSz w:w="16850" w:h="11920"/>
          <w:pgMar w:top="1013" w:right="1904" w:bottom="400" w:left="561"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944" w:tblpY="-125"/>
        <w:tblOverlap w:val="never"/>
        <w:tblW w:w="14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5025"/>
        <w:gridCol w:w="1175"/>
        <w:gridCol w:w="7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74"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41"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774" w:type="dxa"/>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5</w:t>
            </w:r>
          </w:p>
        </w:tc>
        <w:tc>
          <w:tcPr>
            <w:tcW w:w="5025" w:type="dxa"/>
            <w:noWrap w:val="0"/>
            <w:vAlign w:val="top"/>
          </w:tcPr>
          <w:p>
            <w:pPr>
              <w:spacing w:before="295" w:line="226" w:lineRule="auto"/>
              <w:ind w:left="60" w:leftChars="0" w:right="108" w:rightChars="0"/>
              <w:jc w:val="both"/>
              <w:rPr>
                <w:rFonts w:ascii="宋体" w:hAnsi="宋体" w:eastAsia="宋体" w:cs="宋体"/>
                <w:sz w:val="21"/>
                <w:szCs w:val="21"/>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45" w:lineRule="auto"/>
              <w:rPr>
                <w:rFonts w:ascii="Arial"/>
                <w:sz w:val="21"/>
              </w:rPr>
            </w:pPr>
          </w:p>
          <w:p>
            <w:pPr>
              <w:spacing w:line="246" w:lineRule="auto"/>
              <w:rPr>
                <w:rFonts w:ascii="Arial"/>
                <w:sz w:val="21"/>
              </w:rPr>
            </w:pPr>
          </w:p>
          <w:p>
            <w:pPr>
              <w:spacing w:before="68" w:line="229" w:lineRule="auto"/>
              <w:ind w:left="34" w:leftChars="0" w:right="9" w:rightChars="0" w:firstLine="5" w:firstLineChars="0"/>
              <w:rPr>
                <w:rFonts w:ascii="宋体" w:hAnsi="宋体" w:eastAsia="宋体" w:cs="宋体"/>
                <w:sz w:val="21"/>
                <w:szCs w:val="21"/>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774" w:type="dxa"/>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6</w:t>
            </w:r>
          </w:p>
        </w:tc>
        <w:tc>
          <w:tcPr>
            <w:tcW w:w="5025" w:type="dxa"/>
            <w:noWrap w:val="0"/>
            <w:vAlign w:val="top"/>
          </w:tcPr>
          <w:p>
            <w:pPr>
              <w:spacing w:before="227" w:line="226" w:lineRule="auto"/>
              <w:ind w:left="60" w:leftChars="0" w:right="10" w:rightChars="0"/>
              <w:jc w:val="both"/>
              <w:rPr>
                <w:rFonts w:ascii="宋体" w:hAnsi="宋体" w:eastAsia="宋体" w:cs="宋体"/>
                <w:sz w:val="21"/>
                <w:szCs w:val="21"/>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52" w:lineRule="auto"/>
              <w:rPr>
                <w:rFonts w:ascii="Arial"/>
                <w:sz w:val="21"/>
              </w:rPr>
            </w:pPr>
          </w:p>
          <w:p>
            <w:pPr>
              <w:spacing w:line="253" w:lineRule="auto"/>
              <w:rPr>
                <w:rFonts w:ascii="Arial"/>
                <w:sz w:val="21"/>
              </w:rPr>
            </w:pPr>
          </w:p>
          <w:p>
            <w:pPr>
              <w:spacing w:before="68" w:line="219" w:lineRule="auto"/>
              <w:ind w:left="39" w:leftChars="0"/>
              <w:rPr>
                <w:rFonts w:ascii="宋体" w:hAnsi="宋体" w:eastAsia="宋体" w:cs="宋体"/>
                <w:sz w:val="21"/>
                <w:szCs w:val="21"/>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774" w:type="dxa"/>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hint="eastAsia" w:ascii="宋体" w:hAnsi="宋体" w:eastAsia="宋体" w:cs="宋体"/>
                <w:sz w:val="21"/>
                <w:szCs w:val="21"/>
                <w:lang w:val="en-US" w:eastAsia="zh-CN"/>
              </w:rPr>
            </w:pPr>
            <w:r>
              <w:rPr>
                <w:rFonts w:hint="eastAsia" w:ascii="宋体" w:hAnsi="宋体" w:cs="宋体"/>
                <w:sz w:val="20"/>
                <w:szCs w:val="20"/>
                <w:lang w:val="en-US" w:eastAsia="zh-CN"/>
              </w:rPr>
              <w:t>37</w:t>
            </w:r>
          </w:p>
        </w:tc>
        <w:tc>
          <w:tcPr>
            <w:tcW w:w="5025" w:type="dxa"/>
            <w:noWrap w:val="0"/>
            <w:vAlign w:val="top"/>
          </w:tcPr>
          <w:p>
            <w:pPr>
              <w:spacing w:before="279" w:line="237" w:lineRule="auto"/>
              <w:ind w:left="60" w:leftChars="0" w:right="88" w:rightChars="0"/>
              <w:jc w:val="both"/>
              <w:rPr>
                <w:rFonts w:ascii="宋体" w:hAnsi="宋体" w:eastAsia="宋体" w:cs="宋体"/>
                <w:sz w:val="21"/>
                <w:szCs w:val="21"/>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z w:val="21"/>
                <w:szCs w:val="21"/>
              </w:rPr>
            </w:pPr>
            <w:r>
              <w:rPr>
                <w:rFonts w:ascii="宋体" w:hAnsi="宋体" w:eastAsia="宋体" w:cs="宋体"/>
                <w:spacing w:val="11"/>
                <w:sz w:val="20"/>
                <w:szCs w:val="20"/>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774" w:type="dxa"/>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hint="eastAsia" w:ascii="宋体" w:hAnsi="宋体" w:eastAsia="宋体" w:cs="宋体"/>
                <w:sz w:val="21"/>
                <w:szCs w:val="21"/>
                <w:lang w:val="en-US" w:eastAsia="zh-CN"/>
              </w:rPr>
            </w:pPr>
            <w:r>
              <w:rPr>
                <w:rFonts w:hint="eastAsia" w:ascii="宋体" w:hAnsi="宋体" w:cs="宋体"/>
                <w:sz w:val="20"/>
                <w:szCs w:val="20"/>
                <w:lang w:val="en-US" w:eastAsia="zh-CN"/>
              </w:rPr>
              <w:t>38</w:t>
            </w:r>
          </w:p>
        </w:tc>
        <w:tc>
          <w:tcPr>
            <w:tcW w:w="5025" w:type="dxa"/>
            <w:noWrap w:val="0"/>
            <w:vAlign w:val="top"/>
          </w:tcPr>
          <w:p>
            <w:pPr>
              <w:spacing w:before="261" w:line="233" w:lineRule="auto"/>
              <w:ind w:left="60" w:leftChars="0" w:right="108" w:rightChars="0"/>
              <w:jc w:val="both"/>
              <w:rPr>
                <w:rFonts w:ascii="宋体" w:hAnsi="宋体" w:eastAsia="宋体" w:cs="宋体"/>
                <w:sz w:val="21"/>
                <w:szCs w:val="21"/>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leftChars="0" w:right="30" w:rightChars="0" w:hanging="100" w:firstLineChars="0"/>
              <w:rPr>
                <w:rFonts w:ascii="宋体" w:hAnsi="宋体" w:eastAsia="宋体" w:cs="宋体"/>
                <w:sz w:val="21"/>
                <w:szCs w:val="21"/>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trPr>
        <w:tc>
          <w:tcPr>
            <w:tcW w:w="774" w:type="dxa"/>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hint="eastAsia" w:ascii="宋体" w:hAnsi="宋体" w:eastAsia="宋体" w:cs="宋体"/>
                <w:sz w:val="21"/>
                <w:szCs w:val="21"/>
                <w:lang w:val="en-US" w:eastAsia="zh-CN"/>
              </w:rPr>
            </w:pPr>
            <w:r>
              <w:rPr>
                <w:rFonts w:hint="eastAsia" w:ascii="宋体" w:hAnsi="宋体" w:cs="宋体"/>
                <w:sz w:val="20"/>
                <w:szCs w:val="20"/>
                <w:lang w:val="en-US" w:eastAsia="zh-CN"/>
              </w:rPr>
              <w:t>39</w:t>
            </w:r>
          </w:p>
        </w:tc>
        <w:tc>
          <w:tcPr>
            <w:tcW w:w="5025" w:type="dxa"/>
            <w:noWrap w:val="0"/>
            <w:vAlign w:val="top"/>
          </w:tcPr>
          <w:p>
            <w:pPr>
              <w:spacing w:before="210" w:line="235" w:lineRule="auto"/>
              <w:ind w:left="60" w:leftChars="0" w:right="86" w:rightChars="0"/>
              <w:jc w:val="both"/>
              <w:rPr>
                <w:rFonts w:ascii="宋体" w:hAnsi="宋体" w:eastAsia="宋体" w:cs="宋体"/>
                <w:sz w:val="21"/>
                <w:szCs w:val="21"/>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62" w:lineRule="auto"/>
              <w:rPr>
                <w:rFonts w:ascii="Arial"/>
                <w:sz w:val="21"/>
              </w:rPr>
            </w:pPr>
          </w:p>
          <w:p>
            <w:pPr>
              <w:spacing w:line="262" w:lineRule="auto"/>
              <w:rPr>
                <w:rFonts w:ascii="Arial"/>
                <w:sz w:val="21"/>
              </w:rPr>
            </w:pPr>
          </w:p>
          <w:p>
            <w:pPr>
              <w:spacing w:before="65" w:line="219" w:lineRule="auto"/>
              <w:ind w:left="54" w:leftChars="0"/>
              <w:rPr>
                <w:rFonts w:ascii="宋体" w:hAnsi="宋体" w:eastAsia="宋体" w:cs="宋体"/>
                <w:sz w:val="21"/>
                <w:szCs w:val="21"/>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74" w:type="dxa"/>
            <w:noWrap w:val="0"/>
            <w:vAlign w:val="top"/>
          </w:tcPr>
          <w:p>
            <w:pPr>
              <w:spacing w:before="304" w:line="183" w:lineRule="auto"/>
              <w:jc w:val="center"/>
              <w:rPr>
                <w:rFonts w:hint="eastAsia" w:ascii="宋体" w:hAnsi="宋体" w:eastAsia="宋体" w:cs="宋体"/>
                <w:sz w:val="21"/>
                <w:szCs w:val="21"/>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0</w:t>
            </w:r>
          </w:p>
        </w:tc>
        <w:tc>
          <w:tcPr>
            <w:tcW w:w="5025" w:type="dxa"/>
            <w:noWrap w:val="0"/>
            <w:vAlign w:val="top"/>
          </w:tcPr>
          <w:p>
            <w:pPr>
              <w:spacing w:before="253" w:line="219" w:lineRule="auto"/>
              <w:ind w:left="60" w:leftChars="0"/>
              <w:rPr>
                <w:rFonts w:ascii="宋体" w:hAnsi="宋体" w:eastAsia="宋体" w:cs="宋体"/>
                <w:sz w:val="21"/>
                <w:szCs w:val="21"/>
              </w:rPr>
            </w:pPr>
            <w:r>
              <w:rPr>
                <w:rFonts w:ascii="宋体" w:hAnsi="宋体" w:eastAsia="宋体" w:cs="宋体"/>
                <w:spacing w:val="7"/>
                <w:sz w:val="20"/>
                <w:szCs w:val="20"/>
              </w:rPr>
              <w:t>对盗伐、滥伐林木的行为的处罚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53" w:line="219" w:lineRule="auto"/>
              <w:ind w:left="54" w:leftChars="0"/>
              <w:rPr>
                <w:rFonts w:ascii="宋体" w:hAnsi="宋体" w:eastAsia="宋体" w:cs="宋体"/>
                <w:sz w:val="21"/>
                <w:szCs w:val="21"/>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74" w:type="dxa"/>
            <w:noWrap w:val="0"/>
            <w:vAlign w:val="top"/>
          </w:tcPr>
          <w:p>
            <w:pPr>
              <w:spacing w:line="279" w:lineRule="auto"/>
              <w:jc w:val="center"/>
              <w:rPr>
                <w:rFonts w:ascii="Arial"/>
                <w:sz w:val="21"/>
              </w:rPr>
            </w:pPr>
          </w:p>
          <w:p>
            <w:pPr>
              <w:spacing w:before="65" w:line="183" w:lineRule="auto"/>
              <w:jc w:val="center"/>
              <w:rPr>
                <w:rFonts w:hint="eastAsia" w:ascii="宋体" w:hAnsi="宋体" w:eastAsia="宋体" w:cs="宋体"/>
                <w:sz w:val="21"/>
                <w:szCs w:val="21"/>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1</w:t>
            </w:r>
          </w:p>
        </w:tc>
        <w:tc>
          <w:tcPr>
            <w:tcW w:w="5025" w:type="dxa"/>
            <w:noWrap w:val="0"/>
            <w:vAlign w:val="top"/>
          </w:tcPr>
          <w:p>
            <w:pPr>
              <w:spacing w:before="164" w:line="229" w:lineRule="auto"/>
              <w:ind w:left="60" w:leftChars="0" w:right="108" w:rightChars="0"/>
              <w:rPr>
                <w:rFonts w:ascii="宋体" w:hAnsi="宋体" w:eastAsia="宋体" w:cs="宋体"/>
                <w:sz w:val="21"/>
                <w:szCs w:val="21"/>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94" w:line="219" w:lineRule="auto"/>
              <w:ind w:left="54" w:leftChars="0"/>
              <w:rPr>
                <w:rFonts w:ascii="宋体" w:hAnsi="宋体" w:eastAsia="宋体" w:cs="宋体"/>
                <w:sz w:val="21"/>
                <w:szCs w:val="21"/>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74" w:type="dxa"/>
            <w:noWrap w:val="0"/>
            <w:vAlign w:val="top"/>
          </w:tcPr>
          <w:p>
            <w:pPr>
              <w:spacing w:line="280"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2</w:t>
            </w:r>
          </w:p>
        </w:tc>
        <w:tc>
          <w:tcPr>
            <w:tcW w:w="5025" w:type="dxa"/>
            <w:noWrap w:val="0"/>
            <w:vAlign w:val="top"/>
          </w:tcPr>
          <w:p>
            <w:pPr>
              <w:spacing w:before="165" w:line="225" w:lineRule="auto"/>
              <w:ind w:left="60" w:leftChars="0" w:right="107" w:rightChars="0"/>
              <w:rPr>
                <w:rFonts w:ascii="宋体" w:hAnsi="宋体" w:eastAsia="宋体" w:cs="宋体"/>
                <w:spacing w:val="10"/>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95" w:line="219" w:lineRule="auto"/>
              <w:ind w:left="54" w:leftChars="0"/>
              <w:rPr>
                <w:rFonts w:ascii="宋体" w:hAnsi="宋体" w:eastAsia="宋体" w:cs="宋体"/>
                <w:spacing w:val="10"/>
                <w:sz w:val="20"/>
                <w:szCs w:val="20"/>
              </w:rPr>
            </w:pPr>
            <w:r>
              <w:rPr>
                <w:rFonts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74" w:type="dxa"/>
            <w:noWrap w:val="0"/>
            <w:vAlign w:val="top"/>
          </w:tcPr>
          <w:p>
            <w:pPr>
              <w:spacing w:line="310"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3</w:t>
            </w:r>
          </w:p>
        </w:tc>
        <w:tc>
          <w:tcPr>
            <w:tcW w:w="5025" w:type="dxa"/>
            <w:noWrap w:val="0"/>
            <w:vAlign w:val="top"/>
          </w:tcPr>
          <w:p>
            <w:pPr>
              <w:spacing w:before="195"/>
              <w:ind w:left="60" w:leftChars="0" w:right="115" w:rightChars="0"/>
              <w:rPr>
                <w:rFonts w:ascii="宋体" w:hAnsi="宋体" w:eastAsia="宋体" w:cs="宋体"/>
                <w:spacing w:val="10"/>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07" w:line="220" w:lineRule="auto"/>
              <w:ind w:left="35" w:leftChars="0" w:right="229" w:rightChars="0" w:firstLine="19" w:firstLineChars="0"/>
              <w:rPr>
                <w:rFonts w:ascii="宋体" w:hAnsi="宋体" w:eastAsia="宋体" w:cs="宋体"/>
                <w:spacing w:val="10"/>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bl>
    <w:p/>
    <w:p/>
    <w:p/>
    <w:p/>
    <w:p/>
    <w:tbl>
      <w:tblPr>
        <w:tblStyle w:val="4"/>
        <w:tblW w:w="13988"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037"/>
        <w:gridCol w:w="1175"/>
        <w:gridCol w:w="7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8"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738" w:type="dxa"/>
            <w:noWrap w:val="0"/>
            <w:vAlign w:val="top"/>
          </w:tcPr>
          <w:p>
            <w:pPr>
              <w:spacing w:line="301"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4</w:t>
            </w:r>
          </w:p>
        </w:tc>
        <w:tc>
          <w:tcPr>
            <w:tcW w:w="5037" w:type="dxa"/>
            <w:noWrap w:val="0"/>
            <w:vAlign w:val="top"/>
          </w:tcPr>
          <w:p>
            <w:pPr>
              <w:spacing w:before="196" w:line="239" w:lineRule="auto"/>
              <w:ind w:left="60" w:leftChars="0" w:right="106" w:rightChars="0"/>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96"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38" w:type="dxa"/>
            <w:noWrap w:val="0"/>
            <w:vAlign w:val="top"/>
          </w:tcPr>
          <w:p>
            <w:pPr>
              <w:spacing w:line="393"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5</w:t>
            </w:r>
          </w:p>
        </w:tc>
        <w:tc>
          <w:tcPr>
            <w:tcW w:w="5037" w:type="dxa"/>
            <w:noWrap w:val="0"/>
            <w:vAlign w:val="top"/>
          </w:tcPr>
          <w:p>
            <w:pPr>
              <w:spacing w:line="340" w:lineRule="auto"/>
              <w:rPr>
                <w:rFonts w:ascii="Arial"/>
                <w:sz w:val="21"/>
              </w:rPr>
            </w:pPr>
          </w:p>
          <w:p>
            <w:pPr>
              <w:spacing w:before="65" w:line="219" w:lineRule="auto"/>
              <w:ind w:left="50" w:leftChars="0"/>
              <w:rPr>
                <w:rFonts w:ascii="宋体" w:hAnsi="宋体" w:eastAsia="宋体" w:cs="宋体"/>
                <w:sz w:val="20"/>
                <w:szCs w:val="20"/>
              </w:rPr>
            </w:pPr>
            <w:r>
              <w:rPr>
                <w:rFonts w:ascii="宋体" w:hAnsi="宋体" w:eastAsia="宋体" w:cs="宋体"/>
                <w:spacing w:val="8"/>
                <w:sz w:val="20"/>
                <w:szCs w:val="20"/>
              </w:rPr>
              <w:t>对本辖区违反规定野外用火的行为的处罚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57" w:line="239" w:lineRule="auto"/>
              <w:ind w:left="153" w:leftChars="0" w:right="91" w:rightChars="0" w:hanging="99" w:firstLineChars="0"/>
              <w:rPr>
                <w:rFonts w:ascii="宋体" w:hAnsi="宋体" w:eastAsia="宋体" w:cs="宋体"/>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738" w:type="dxa"/>
            <w:noWrap w:val="0"/>
            <w:vAlign w:val="top"/>
          </w:tcPr>
          <w:p>
            <w:pPr>
              <w:spacing w:line="275"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6</w:t>
            </w:r>
          </w:p>
        </w:tc>
        <w:tc>
          <w:tcPr>
            <w:tcW w:w="5037" w:type="dxa"/>
            <w:noWrap w:val="0"/>
            <w:vAlign w:val="top"/>
          </w:tcPr>
          <w:p>
            <w:pPr>
              <w:spacing w:before="289" w:line="219" w:lineRule="auto"/>
              <w:ind w:left="50" w:leftChars="0"/>
              <w:rPr>
                <w:rFonts w:ascii="宋体" w:hAnsi="宋体" w:eastAsia="宋体" w:cs="宋体"/>
                <w:sz w:val="20"/>
                <w:szCs w:val="20"/>
              </w:rPr>
            </w:pPr>
            <w:r>
              <w:rPr>
                <w:rFonts w:ascii="宋体" w:hAnsi="宋体" w:eastAsia="宋体" w:cs="宋体"/>
                <w:spacing w:val="9"/>
                <w:sz w:val="20"/>
                <w:szCs w:val="20"/>
              </w:rPr>
              <w:t>对弄虚作假、虚报冒领补助资金的行为的处罚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89" w:line="219" w:lineRule="auto"/>
              <w:ind w:left="54" w:leftChars="0"/>
              <w:rPr>
                <w:rFonts w:ascii="宋体" w:hAnsi="宋体" w:eastAsia="宋体" w:cs="宋体"/>
                <w:sz w:val="20"/>
                <w:szCs w:val="20"/>
              </w:rPr>
            </w:pPr>
            <w:r>
              <w:rPr>
                <w:rFonts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738" w:type="dxa"/>
            <w:noWrap w:val="0"/>
            <w:vAlign w:val="top"/>
          </w:tcPr>
          <w:p>
            <w:pPr>
              <w:spacing w:line="385"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47</w:t>
            </w:r>
          </w:p>
        </w:tc>
        <w:tc>
          <w:tcPr>
            <w:tcW w:w="5037" w:type="dxa"/>
            <w:noWrap w:val="0"/>
            <w:vAlign w:val="top"/>
          </w:tcPr>
          <w:p>
            <w:pPr>
              <w:spacing w:before="150"/>
              <w:ind w:left="50" w:leftChars="0" w:right="170" w:rightChars="0"/>
              <w:jc w:val="both"/>
              <w:rPr>
                <w:rFonts w:ascii="宋体" w:hAnsi="宋体" w:eastAsia="宋体" w:cs="宋体"/>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32"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17"/>
                <w:sz w:val="20"/>
                <w:szCs w:val="20"/>
              </w:rPr>
              <w:t>《森林防火条例》(国务院令第541号)第四十九条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8" w:type="dxa"/>
            <w:noWrap w:val="0"/>
            <w:vAlign w:val="top"/>
          </w:tcPr>
          <w:p>
            <w:pPr>
              <w:spacing w:line="246"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48</w:t>
            </w:r>
          </w:p>
        </w:tc>
        <w:tc>
          <w:tcPr>
            <w:tcW w:w="5037" w:type="dxa"/>
            <w:noWrap w:val="0"/>
            <w:vAlign w:val="top"/>
          </w:tcPr>
          <w:p>
            <w:pPr>
              <w:spacing w:before="171" w:line="222" w:lineRule="auto"/>
              <w:ind w:left="50" w:leftChars="0" w:right="175" w:rightChars="0"/>
              <w:rPr>
                <w:rFonts w:ascii="宋体" w:hAnsi="宋体" w:eastAsia="宋体" w:cs="宋体"/>
                <w:sz w:val="20"/>
                <w:szCs w:val="20"/>
              </w:rPr>
            </w:pPr>
            <w:r>
              <w:rPr>
                <w:rFonts w:ascii="宋体" w:hAnsi="宋体" w:eastAsia="宋体" w:cs="宋体"/>
                <w:spacing w:val="7"/>
                <w:sz w:val="20"/>
                <w:szCs w:val="20"/>
              </w:rPr>
              <w:t>对违反规定擅自在森林防火区内野外用火的行</w:t>
            </w:r>
            <w:r>
              <w:rPr>
                <w:rFonts w:ascii="宋体" w:hAnsi="宋体" w:eastAsia="宋体" w:cs="宋体"/>
                <w:spacing w:val="6"/>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61" w:line="219" w:lineRule="auto"/>
              <w:ind w:left="54" w:leftChars="0"/>
              <w:rPr>
                <w:rFonts w:ascii="宋体" w:hAnsi="宋体" w:eastAsia="宋体" w:cs="宋体"/>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38" w:type="dxa"/>
            <w:noWrap w:val="0"/>
            <w:vAlign w:val="top"/>
          </w:tcPr>
          <w:p>
            <w:pPr>
              <w:spacing w:line="387"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49</w:t>
            </w:r>
          </w:p>
        </w:tc>
        <w:tc>
          <w:tcPr>
            <w:tcW w:w="5037" w:type="dxa"/>
            <w:noWrap w:val="0"/>
            <w:vAlign w:val="top"/>
          </w:tcPr>
          <w:p>
            <w:pPr>
              <w:spacing w:before="152" w:line="239" w:lineRule="auto"/>
              <w:ind w:left="50" w:leftChars="0" w:right="118" w:rightChars="0"/>
              <w:jc w:val="both"/>
              <w:rPr>
                <w:rFonts w:ascii="宋体" w:hAnsi="宋体" w:eastAsia="宋体" w:cs="宋体"/>
                <w:sz w:val="20"/>
                <w:szCs w:val="20"/>
              </w:rPr>
            </w:pPr>
            <w:r>
              <w:rPr>
                <w:rFonts w:ascii="宋体" w:hAnsi="宋体" w:eastAsia="宋体" w:cs="宋体"/>
                <w:spacing w:val="16"/>
                <w:sz w:val="20"/>
                <w:szCs w:val="20"/>
              </w:rPr>
              <w:t>对在文物建筑保护范围内吸烟、燃放烟花爆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leftChars="0" w:right="279" w:rightChars="0" w:firstLine="19" w:firstLineChars="0"/>
              <w:rPr>
                <w:rFonts w:ascii="宋体" w:hAnsi="宋体" w:eastAsia="宋体" w:cs="宋体"/>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38" w:type="dxa"/>
            <w:noWrap w:val="0"/>
            <w:vAlign w:val="top"/>
          </w:tcPr>
          <w:p>
            <w:pPr>
              <w:spacing w:line="268" w:lineRule="auto"/>
              <w:jc w:val="center"/>
              <w:rPr>
                <w:rFonts w:ascii="Arial"/>
                <w:sz w:val="21"/>
              </w:rPr>
            </w:pPr>
          </w:p>
          <w:p>
            <w:pPr>
              <w:spacing w:line="269"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5</w:t>
            </w:r>
            <w:r>
              <w:rPr>
                <w:rFonts w:hint="eastAsia" w:ascii="宋体" w:hAnsi="宋体" w:cs="宋体"/>
                <w:spacing w:val="-3"/>
                <w:sz w:val="20"/>
                <w:szCs w:val="20"/>
                <w:lang w:val="en-US" w:eastAsia="zh-CN"/>
              </w:rPr>
              <w:t>0</w:t>
            </w:r>
          </w:p>
        </w:tc>
        <w:tc>
          <w:tcPr>
            <w:tcW w:w="5037" w:type="dxa"/>
            <w:noWrap w:val="0"/>
            <w:vAlign w:val="top"/>
          </w:tcPr>
          <w:p>
            <w:pPr>
              <w:spacing w:before="174" w:line="219" w:lineRule="auto"/>
              <w:ind w:left="50" w:leftChars="0"/>
              <w:rPr>
                <w:rFonts w:ascii="宋体" w:hAnsi="宋体" w:eastAsia="宋体" w:cs="宋体"/>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leftChars="0"/>
              <w:rPr>
                <w:rFonts w:ascii="宋体" w:hAnsi="宋体" w:eastAsia="宋体" w:cs="宋体"/>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270"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5</w:t>
            </w:r>
            <w:r>
              <w:rPr>
                <w:rFonts w:hint="eastAsia" w:ascii="宋体" w:hAnsi="宋体" w:cs="宋体"/>
                <w:spacing w:val="-3"/>
                <w:sz w:val="20"/>
                <w:szCs w:val="20"/>
                <w:lang w:val="en-US" w:eastAsia="zh-CN"/>
              </w:rPr>
              <w:t>1</w:t>
            </w:r>
          </w:p>
        </w:tc>
        <w:tc>
          <w:tcPr>
            <w:tcW w:w="5037" w:type="dxa"/>
            <w:noWrap w:val="0"/>
            <w:vAlign w:val="top"/>
          </w:tcPr>
          <w:p>
            <w:pPr>
              <w:spacing w:before="144" w:line="234" w:lineRule="auto"/>
              <w:ind w:left="50" w:leftChars="0" w:right="117" w:rightChars="0"/>
              <w:rPr>
                <w:rFonts w:ascii="宋体" w:hAnsi="宋体" w:eastAsia="宋体" w:cs="宋体"/>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85"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《中华人民共和国消防法》第六十条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39" w:lineRule="auto"/>
              <w:jc w:val="center"/>
              <w:rPr>
                <w:rFonts w:ascii="Arial"/>
                <w:sz w:val="21"/>
              </w:rPr>
            </w:pPr>
          </w:p>
          <w:p>
            <w:pPr>
              <w:spacing w:line="340" w:lineRule="auto"/>
              <w:jc w:val="center"/>
              <w:rPr>
                <w:rFonts w:ascii="Arial"/>
                <w:sz w:val="21"/>
              </w:rPr>
            </w:pPr>
          </w:p>
          <w:p>
            <w:pPr>
              <w:spacing w:before="65" w:line="182" w:lineRule="auto"/>
              <w:jc w:val="center"/>
              <w:rPr>
                <w:rFonts w:ascii="宋体" w:hAnsi="宋体" w:eastAsia="宋体" w:cs="宋体"/>
                <w:spacing w:val="-3"/>
                <w:sz w:val="20"/>
                <w:szCs w:val="20"/>
              </w:rPr>
            </w:pPr>
            <w:r>
              <w:rPr>
                <w:rFonts w:ascii="宋体" w:hAnsi="宋体" w:eastAsia="宋体" w:cs="宋体"/>
                <w:spacing w:val="-3"/>
                <w:sz w:val="20"/>
                <w:szCs w:val="20"/>
              </w:rPr>
              <w:t>5</w:t>
            </w:r>
            <w:r>
              <w:rPr>
                <w:rFonts w:hint="eastAsia" w:ascii="宋体" w:hAnsi="宋体" w:cs="宋体"/>
                <w:spacing w:val="-3"/>
                <w:sz w:val="20"/>
                <w:szCs w:val="20"/>
                <w:lang w:val="en-US" w:eastAsia="zh-CN"/>
              </w:rPr>
              <w:t>2</w:t>
            </w:r>
          </w:p>
        </w:tc>
        <w:tc>
          <w:tcPr>
            <w:tcW w:w="5037" w:type="dxa"/>
            <w:noWrap w:val="0"/>
            <w:vAlign w:val="top"/>
          </w:tcPr>
          <w:p>
            <w:pPr>
              <w:spacing w:before="183" w:line="236" w:lineRule="auto"/>
              <w:ind w:left="50" w:leftChars="0" w:right="116" w:rightChars="0"/>
              <w:jc w:val="both"/>
              <w:rPr>
                <w:rFonts w:ascii="宋体" w:hAnsi="宋体" w:eastAsia="宋体" w:cs="宋体"/>
                <w:spacing w:val="10"/>
                <w:sz w:val="20"/>
                <w:szCs w:val="20"/>
              </w:rPr>
            </w:pPr>
            <w:r>
              <w:rPr>
                <w:rFonts w:ascii="宋体" w:hAnsi="宋体" w:eastAsia="宋体" w:cs="宋体"/>
                <w:spacing w:val="10"/>
                <w:sz w:val="20"/>
                <w:szCs w:val="20"/>
              </w:rPr>
              <w:t>对在高层民用建筑的公共门厅、疏散走道、楼</w:t>
            </w:r>
            <w:r>
              <w:rPr>
                <w:rFonts w:ascii="宋体" w:hAnsi="宋体" w:eastAsia="宋体" w:cs="宋体"/>
                <w:spacing w:val="9"/>
                <w:sz w:val="20"/>
                <w:szCs w:val="20"/>
              </w:rPr>
              <w:t>梯间、安全出口停放电动自行车或者为电动自</w:t>
            </w:r>
            <w:r>
              <w:rPr>
                <w:rFonts w:ascii="宋体" w:hAnsi="宋体" w:eastAsia="宋体" w:cs="宋体"/>
                <w:spacing w:val="10"/>
                <w:sz w:val="20"/>
                <w:szCs w:val="20"/>
              </w:rPr>
              <w:t>行车充电等占用、堵塞、封闭疏散通道、安全</w:t>
            </w:r>
            <w:r>
              <w:rPr>
                <w:rFonts w:ascii="宋体" w:hAnsi="宋体" w:eastAsia="宋体" w:cs="宋体"/>
                <w:spacing w:val="8"/>
                <w:sz w:val="20"/>
                <w:szCs w:val="20"/>
              </w:rPr>
              <w:t>出口或者有其他妨碍安全疏散且拒不改正的行</w:t>
            </w:r>
            <w:r>
              <w:rPr>
                <w:rFonts w:ascii="宋体" w:hAnsi="宋体" w:eastAsia="宋体" w:cs="宋体"/>
                <w:spacing w:val="21"/>
                <w:sz w:val="20"/>
                <w:szCs w:val="20"/>
              </w:rPr>
              <w:t>为的处罚(依法适用简易程序的)</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259" w:lineRule="auto"/>
              <w:rPr>
                <w:rFonts w:ascii="Arial"/>
                <w:sz w:val="21"/>
              </w:rPr>
            </w:pPr>
          </w:p>
          <w:p>
            <w:pPr>
              <w:spacing w:line="259"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before="2" w:line="219" w:lineRule="auto"/>
              <w:ind w:left="54" w:leftChars="0"/>
              <w:rPr>
                <w:rFonts w:ascii="宋体" w:hAnsi="宋体" w:eastAsia="宋体" w:cs="宋体"/>
                <w:spacing w:val="8"/>
                <w:sz w:val="20"/>
                <w:szCs w:val="20"/>
              </w:rPr>
            </w:pPr>
            <w:r>
              <w:rPr>
                <w:rFonts w:ascii="宋体" w:hAnsi="宋体" w:eastAsia="宋体" w:cs="宋体"/>
                <w:spacing w:val="10"/>
                <w:sz w:val="20"/>
                <w:szCs w:val="20"/>
              </w:rPr>
              <w:t>《高层民用建筑消防安全管理规定》第三十七条、第四十七条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11B71C43"/>
    <w:rsid w:val="11B71C43"/>
    <w:rsid w:val="377D7603"/>
    <w:rsid w:val="52CD34D7"/>
    <w:rsid w:val="531C1DFC"/>
    <w:rsid w:val="6396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4473</Words>
  <Characters>4652</Characters>
  <Lines>0</Lines>
  <Paragraphs>0</Paragraphs>
  <TotalTime>1</TotalTime>
  <ScaleCrop>false</ScaleCrop>
  <LinksUpToDate>false</LinksUpToDate>
  <CharactersWithSpaces>4667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2022-10-31T03:43:00Z</dcterms:created>
  <dc:creator>sx</dc:creator>
  <cp:lastModifiedBy>sx</cp:lastModifiedBy>
  <dcterms:modified xsi:type="dcterms:W3CDTF">2022-10-31T07:16:38Z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9A9404D8F2644E728FD77F3C00089A86</vt:lpwstr>
  </property>
</Properties>
</file>